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14bis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2504253</w:t>
      </w:r>
    </w:p>
    <w:p>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Wuhan, China, 7th – 11th April</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left" w:pos="3825"/>
          <w:tab w:val="clear" w:pos="4536"/>
          <w:tab w:val="clear" w:pos="9072"/>
        </w:tabs>
        <w:spacing w:after="60"/>
        <w:ind w:left="482" w:hanging="482" w:hangingChars="20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RRM aspects of R19 Low band carrier aggregation </w:t>
      </w:r>
    </w:p>
    <w:p>
      <w:pPr>
        <w:pStyle w:val="16"/>
        <w:tabs>
          <w:tab w:val="left" w:pos="1800"/>
          <w:tab w:val="left" w:pos="3825"/>
          <w:tab w:val="clear" w:pos="4536"/>
          <w:tab w:val="clear" w:pos="9072"/>
        </w:tabs>
        <w:spacing w:after="60"/>
        <w:ind w:leftChars="900"/>
        <w:jc w:val="both"/>
        <w:rPr>
          <w:rFonts w:hint="default" w:eastAsia="宋体"/>
          <w:color w:val="auto"/>
          <w:sz w:val="24"/>
          <w:lang w:val="en-US" w:eastAsia="zh-CN"/>
        </w:rPr>
      </w:pPr>
      <w:r>
        <w:rPr>
          <w:rFonts w:hint="eastAsia" w:eastAsia="宋体"/>
          <w:color w:val="auto"/>
          <w:sz w:val="24"/>
          <w:lang w:val="en-US" w:eastAsia="zh-CN"/>
        </w:rPr>
        <w:t>via switching</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7.7.3</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bookmarkStart w:id="0" w:name="_GoBack"/>
      <w:bookmarkEnd w:id="0"/>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previous RAN#106 meeting, a new R19 WID of Low band carrier aggregation via switching was approved in [1] and led by RAN4. The objectives of this new WID are captured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4"/>
              <w:pageBreakBefore w:val="0"/>
              <w:widowControl w:val="0"/>
              <w:kinsoku/>
              <w:wordWrap/>
              <w:overflowPunct/>
              <w:topLinePunct w:val="0"/>
              <w:autoSpaceDE/>
              <w:autoSpaceDN/>
              <w:bidi w:val="0"/>
              <w:adjustRightInd/>
              <w:snapToGrid/>
              <w:spacing w:before="0" w:after="0" w:line="240" w:lineRule="auto"/>
              <w:jc w:val="both"/>
              <w:textAlignment w:val="auto"/>
              <w:rPr>
                <w:color w:val="0000FF"/>
              </w:rPr>
            </w:pPr>
            <w:r>
              <w:rPr>
                <w:color w:val="0000FF"/>
              </w:rPr>
              <w:t>4.1</w:t>
            </w:r>
            <w:r>
              <w:rPr>
                <w:color w:val="0000FF"/>
              </w:rPr>
              <w:tab/>
            </w:r>
            <w:r>
              <w:rPr>
                <w:color w:val="0000FF"/>
              </w:rPr>
              <w:t>Objective of SI or Core part WI or Testing part WI</w:t>
            </w:r>
          </w:p>
          <w:p>
            <w:pPr>
              <w:pageBreakBefore w:val="0"/>
              <w:kinsoku/>
              <w:wordWrap/>
              <w:overflowPunct/>
              <w:topLinePunct w:val="0"/>
              <w:autoSpaceDE/>
              <w:autoSpaceDN/>
              <w:bidi w:val="0"/>
              <w:adjustRightInd/>
              <w:snapToGrid/>
              <w:spacing w:line="240" w:lineRule="auto"/>
              <w:textAlignment w:val="auto"/>
              <w:rPr>
                <w:bCs/>
              </w:rPr>
            </w:pPr>
            <w:r>
              <w:rPr>
                <w:bCs/>
              </w:rPr>
              <w:t>Introduce physical layer procedures and requirements to enable low band carrier aggregation via switching according to the following objectives:</w:t>
            </w:r>
          </w:p>
          <w:p>
            <w:pPr>
              <w:pStyle w:val="32"/>
              <w:pageBreakBefore w:val="0"/>
              <w:kinsoku/>
              <w:wordWrap/>
              <w:overflowPunct/>
              <w:topLinePunct w:val="0"/>
              <w:autoSpaceDE/>
              <w:autoSpaceDN/>
              <w:bidi w:val="0"/>
              <w:adjustRightInd/>
              <w:snapToGrid/>
              <w:spacing w:line="240" w:lineRule="auto"/>
              <w:textAlignment w:val="auto"/>
              <w:rPr>
                <w:lang w:val="en-US"/>
              </w:rPr>
            </w:pPr>
            <w:r>
              <w:rPr>
                <w:bCs/>
              </w:rPr>
              <w:t>-</w:t>
            </w:r>
            <w:r>
              <w:rPr>
                <w:bCs/>
              </w:rPr>
              <w:tab/>
            </w:r>
            <w:r>
              <w:t>Specify UE requirements, including at least switching gap (if needed), and corresponding physical layer procedures to allow switching between {case 1, case 2} [RAN4, RAN1]</w:t>
            </w:r>
          </w:p>
          <w:p>
            <w:pPr>
              <w:pStyle w:val="60"/>
              <w:pageBreakBefore w:val="0"/>
              <w:numPr>
                <w:ilvl w:val="0"/>
                <w:numId w:val="0"/>
              </w:numPr>
              <w:kinsoku/>
              <w:wordWrap/>
              <w:overflowPunct/>
              <w:topLinePunct w:val="0"/>
              <w:autoSpaceDE/>
              <w:autoSpaceDN/>
              <w:bidi w:val="0"/>
              <w:adjustRightInd/>
              <w:snapToGrid/>
              <w:spacing w:line="240" w:lineRule="auto"/>
              <w:ind w:leftChars="300"/>
              <w:textAlignment w:val="auto"/>
              <w:rPr>
                <w:highlight w:val="none"/>
              </w:rPr>
            </w:pPr>
            <w:r>
              <w:t>-</w:t>
            </w:r>
            <w:r>
              <w:tab/>
            </w:r>
            <w:r>
              <w:t>Case</w:t>
            </w:r>
            <w:r>
              <w:rPr>
                <w:highlight w:val="none"/>
              </w:rPr>
              <w:t xml:space="preserve"> 1: Tx/Rx on FDD carrier 1 and no Rx on SDL carrier 2</w:t>
            </w:r>
          </w:p>
          <w:p>
            <w:pPr>
              <w:pStyle w:val="60"/>
              <w:pageBreakBefore w:val="0"/>
              <w:numPr>
                <w:ilvl w:val="0"/>
                <w:numId w:val="0"/>
              </w:numPr>
              <w:kinsoku/>
              <w:wordWrap/>
              <w:overflowPunct/>
              <w:topLinePunct w:val="0"/>
              <w:autoSpaceDE/>
              <w:autoSpaceDN/>
              <w:bidi w:val="0"/>
              <w:adjustRightInd/>
              <w:snapToGrid/>
              <w:spacing w:line="240" w:lineRule="auto"/>
              <w:ind w:leftChars="300"/>
              <w:textAlignment w:val="auto"/>
              <w:rPr>
                <w:highlight w:val="none"/>
              </w:rPr>
            </w:pPr>
            <w:r>
              <w:rPr>
                <w:highlight w:val="none"/>
              </w:rPr>
              <w:t>-</w:t>
            </w:r>
            <w:r>
              <w:rPr>
                <w:highlight w:val="none"/>
              </w:rPr>
              <w:tab/>
            </w:r>
            <w:r>
              <w:rPr>
                <w:highlight w:val="none"/>
              </w:rPr>
              <w:t>Case 2: Rx on SDL carrier 2 and no Tx/Rx on FDD carrier 1</w:t>
            </w:r>
          </w:p>
          <w:p>
            <w:pPr>
              <w:pStyle w:val="60"/>
              <w:pageBreakBefore w:val="0"/>
              <w:numPr>
                <w:ilvl w:val="0"/>
                <w:numId w:val="0"/>
              </w:numPr>
              <w:kinsoku/>
              <w:wordWrap/>
              <w:overflowPunct/>
              <w:topLinePunct w:val="0"/>
              <w:autoSpaceDE/>
              <w:autoSpaceDN/>
              <w:bidi w:val="0"/>
              <w:adjustRightInd/>
              <w:snapToGrid/>
              <w:spacing w:line="240" w:lineRule="auto"/>
              <w:ind w:leftChars="300"/>
              <w:textAlignment w:val="auto"/>
              <w:rPr>
                <w:highlight w:val="none"/>
              </w:rPr>
            </w:pPr>
            <w:r>
              <w:rPr>
                <w:highlight w:val="none"/>
              </w:rPr>
              <w:t>-</w:t>
            </w:r>
            <w:r>
              <w:rPr>
                <w:highlight w:val="none"/>
              </w:rPr>
              <w:tab/>
            </w:r>
            <w:r>
              <w:rPr>
                <w:highlight w:val="none"/>
              </w:rPr>
              <w:t>RAN1 to specify only a semi-static switching pattern based on RRC configuration, liaising with RAN2 and RAN4 as necessary</w:t>
            </w:r>
          </w:p>
          <w:p>
            <w:pPr>
              <w:pStyle w:val="60"/>
              <w:pageBreakBefore w:val="0"/>
              <w:numPr>
                <w:ilvl w:val="0"/>
                <w:numId w:val="0"/>
              </w:numPr>
              <w:kinsoku/>
              <w:wordWrap/>
              <w:overflowPunct/>
              <w:topLinePunct w:val="0"/>
              <w:autoSpaceDE/>
              <w:autoSpaceDN/>
              <w:bidi w:val="0"/>
              <w:adjustRightInd/>
              <w:snapToGrid/>
              <w:spacing w:line="240" w:lineRule="auto"/>
              <w:ind w:leftChars="300"/>
              <w:textAlignment w:val="auto"/>
              <w:rPr>
                <w:highlight w:val="none"/>
              </w:rPr>
            </w:pPr>
            <w:r>
              <w:rPr>
                <w:highlight w:val="none"/>
              </w:rPr>
              <w:t>-</w:t>
            </w:r>
            <w:r>
              <w:rPr>
                <w:highlight w:val="none"/>
              </w:rPr>
              <w:tab/>
            </w:r>
            <w:r>
              <w:rPr>
                <w:highlight w:val="none"/>
              </w:rPr>
              <w:t>Specify the switching delay and time mask for carrier switching [RAN4]</w:t>
            </w:r>
          </w:p>
          <w:p>
            <w:pPr>
              <w:pStyle w:val="32"/>
              <w:pageBreakBefore w:val="0"/>
              <w:kinsoku/>
              <w:wordWrap/>
              <w:overflowPunct/>
              <w:topLinePunct w:val="0"/>
              <w:autoSpaceDE/>
              <w:autoSpaceDN/>
              <w:bidi w:val="0"/>
              <w:adjustRightInd/>
              <w:snapToGrid/>
              <w:spacing w:line="240" w:lineRule="auto"/>
              <w:textAlignment w:val="auto"/>
              <w:rPr>
                <w:highlight w:val="none"/>
              </w:rPr>
            </w:pPr>
            <w:r>
              <w:rPr>
                <w:highlight w:val="none"/>
              </w:rPr>
              <w:t>-</w:t>
            </w:r>
            <w:r>
              <w:rPr>
                <w:highlight w:val="none"/>
              </w:rPr>
              <w:tab/>
            </w:r>
            <w:r>
              <w:rPr>
                <w:highlight w:val="none"/>
              </w:rPr>
              <w:t>Specify necessary RRM requirements [RAN4]</w:t>
            </w:r>
          </w:p>
          <w:p>
            <w:pPr>
              <w:pStyle w:val="32"/>
              <w:pageBreakBefore w:val="0"/>
              <w:kinsoku/>
              <w:wordWrap/>
              <w:overflowPunct/>
              <w:topLinePunct w:val="0"/>
              <w:autoSpaceDE/>
              <w:autoSpaceDN/>
              <w:bidi w:val="0"/>
              <w:adjustRightInd/>
              <w:snapToGrid/>
              <w:spacing w:line="240" w:lineRule="auto"/>
              <w:textAlignment w:val="auto"/>
              <w:rPr>
                <w:highlight w:val="none"/>
              </w:rPr>
            </w:pPr>
            <w:r>
              <w:rPr>
                <w:highlight w:val="none"/>
              </w:rPr>
              <w:t>-</w:t>
            </w:r>
            <w:r>
              <w:rPr>
                <w:highlight w:val="none"/>
              </w:rPr>
              <w:tab/>
            </w:r>
            <w:r>
              <w:rPr>
                <w:highlight w:val="none"/>
              </w:rPr>
              <w:t>Define the corresponding UE capabilities [RAN4, RAN2, RAN1]</w:t>
            </w:r>
          </w:p>
          <w:p>
            <w:pPr>
              <w:pStyle w:val="32"/>
              <w:pageBreakBefore w:val="0"/>
              <w:kinsoku/>
              <w:wordWrap/>
              <w:overflowPunct/>
              <w:topLinePunct w:val="0"/>
              <w:autoSpaceDE/>
              <w:autoSpaceDN/>
              <w:bidi w:val="0"/>
              <w:adjustRightInd/>
              <w:snapToGrid/>
              <w:spacing w:line="240" w:lineRule="auto"/>
              <w:textAlignment w:val="auto"/>
              <w:rPr>
                <w:highlight w:val="none"/>
              </w:rPr>
            </w:pPr>
            <w:r>
              <w:rPr>
                <w:highlight w:val="none"/>
              </w:rPr>
              <w:t>-</w:t>
            </w:r>
            <w:r>
              <w:rPr>
                <w:highlight w:val="none"/>
              </w:rPr>
              <w:tab/>
            </w:r>
            <w:r>
              <w:rPr>
                <w:highlight w:val="none"/>
              </w:rPr>
              <w:t>Consider the following deployment constraints:</w:t>
            </w:r>
          </w:p>
          <w:p>
            <w:pPr>
              <w:pStyle w:val="60"/>
              <w:pageBreakBefore w:val="0"/>
              <w:numPr>
                <w:ilvl w:val="0"/>
                <w:numId w:val="0"/>
              </w:numPr>
              <w:kinsoku/>
              <w:wordWrap/>
              <w:overflowPunct/>
              <w:topLinePunct w:val="0"/>
              <w:autoSpaceDE/>
              <w:autoSpaceDN/>
              <w:bidi w:val="0"/>
              <w:adjustRightInd/>
              <w:snapToGrid/>
              <w:spacing w:line="240" w:lineRule="auto"/>
              <w:ind w:leftChars="300"/>
              <w:textAlignment w:val="auto"/>
              <w:rPr>
                <w:highlight w:val="none"/>
              </w:rPr>
            </w:pPr>
            <w:r>
              <w:rPr>
                <w:highlight w:val="none"/>
              </w:rPr>
              <w:t>-</w:t>
            </w:r>
            <w:r>
              <w:rPr>
                <w:highlight w:val="none"/>
              </w:rPr>
              <w:tab/>
            </w:r>
            <w:r>
              <w:rPr>
                <w:highlight w:val="none"/>
              </w:rPr>
              <w:t>The carrier frequency for all cases is &lt;1 GHz</w:t>
            </w:r>
          </w:p>
          <w:p>
            <w:pPr>
              <w:pStyle w:val="60"/>
              <w:pageBreakBefore w:val="0"/>
              <w:numPr>
                <w:ilvl w:val="0"/>
                <w:numId w:val="0"/>
              </w:numPr>
              <w:kinsoku/>
              <w:wordWrap/>
              <w:overflowPunct/>
              <w:topLinePunct w:val="0"/>
              <w:autoSpaceDE/>
              <w:autoSpaceDN/>
              <w:bidi w:val="0"/>
              <w:adjustRightInd/>
              <w:snapToGrid/>
              <w:spacing w:line="240" w:lineRule="auto"/>
              <w:ind w:leftChars="300"/>
              <w:textAlignment w:val="auto"/>
              <w:rPr>
                <w:rFonts w:hint="default" w:eastAsia="宋体"/>
                <w:highlight w:val="none"/>
                <w:lang w:val="en-US" w:eastAsia="zh-CN"/>
              </w:rPr>
            </w:pPr>
            <w:r>
              <w:rPr>
                <w:highlight w:val="none"/>
              </w:rPr>
              <w:t>-</w:t>
            </w:r>
            <w:r>
              <w:rPr>
                <w:highlight w:val="none"/>
              </w:rPr>
              <w:tab/>
            </w:r>
            <w:r>
              <w:rPr>
                <w:highlight w:val="none"/>
              </w:rPr>
              <w:t>Co-located and synchronized network deployment for both carriers</w:t>
            </w:r>
          </w:p>
          <w:p>
            <w:pPr>
              <w:pStyle w:val="60"/>
              <w:pageBreakBefore w:val="0"/>
              <w:numPr>
                <w:ilvl w:val="0"/>
                <w:numId w:val="0"/>
              </w:numPr>
              <w:kinsoku/>
              <w:wordWrap/>
              <w:overflowPunct/>
              <w:topLinePunct w:val="0"/>
              <w:autoSpaceDE/>
              <w:autoSpaceDN/>
              <w:bidi w:val="0"/>
              <w:adjustRightInd/>
              <w:snapToGrid/>
              <w:spacing w:line="240" w:lineRule="auto"/>
              <w:ind w:leftChars="300"/>
              <w:textAlignment w:val="auto"/>
              <w:rPr>
                <w:rFonts w:hint="default" w:eastAsiaTheme="minorEastAsia"/>
                <w:highlight w:val="none"/>
                <w:lang w:val="en-US" w:eastAsia="zh-CN"/>
              </w:rPr>
            </w:pPr>
            <w:r>
              <w:rPr>
                <w:highlight w:val="none"/>
              </w:rPr>
              <w:t>-</w:t>
            </w:r>
            <w:r>
              <w:rPr>
                <w:highlight w:val="none"/>
              </w:rPr>
              <w:tab/>
            </w:r>
            <w:r>
              <w:rPr>
                <w:highlight w:val="none"/>
              </w:rPr>
              <w:t>Both carriers are in a single TAG</w:t>
            </w:r>
            <w:r>
              <w:rPr>
                <w:rFonts w:hint="eastAsia"/>
                <w:highlight w:val="none"/>
                <w:lang w:val="en-US" w:eastAsia="zh-CN"/>
              </w:rPr>
              <w:t xml:space="preserve">  </w:t>
            </w:r>
          </w:p>
          <w:p>
            <w:pPr>
              <w:pStyle w:val="60"/>
              <w:pageBreakBefore w:val="0"/>
              <w:numPr>
                <w:ilvl w:val="0"/>
                <w:numId w:val="0"/>
              </w:numPr>
              <w:kinsoku/>
              <w:wordWrap/>
              <w:overflowPunct/>
              <w:topLinePunct w:val="0"/>
              <w:autoSpaceDE/>
              <w:autoSpaceDN/>
              <w:bidi w:val="0"/>
              <w:adjustRightInd/>
              <w:snapToGrid/>
              <w:spacing w:line="240" w:lineRule="auto"/>
              <w:ind w:leftChars="300"/>
              <w:textAlignment w:val="auto"/>
              <w:rPr>
                <w:highlight w:val="none"/>
              </w:rPr>
            </w:pPr>
            <w:r>
              <w:rPr>
                <w:highlight w:val="none"/>
              </w:rPr>
              <w:t>-</w:t>
            </w:r>
            <w:r>
              <w:rPr>
                <w:highlight w:val="none"/>
              </w:rPr>
              <w:tab/>
            </w:r>
            <w:r>
              <w:rPr>
                <w:highlight w:val="none"/>
              </w:rPr>
              <w:t>SCS 15KHz on both carriers</w:t>
            </w:r>
          </w:p>
          <w:p>
            <w:pPr>
              <w:pStyle w:val="32"/>
              <w:pageBreakBefore w:val="0"/>
              <w:kinsoku/>
              <w:wordWrap/>
              <w:overflowPunct/>
              <w:topLinePunct w:val="0"/>
              <w:autoSpaceDE/>
              <w:autoSpaceDN/>
              <w:bidi w:val="0"/>
              <w:adjustRightInd/>
              <w:snapToGrid/>
              <w:spacing w:line="240" w:lineRule="auto"/>
              <w:textAlignment w:val="auto"/>
              <w:rPr>
                <w:rFonts w:hint="default" w:eastAsia="宋体"/>
                <w:highlight w:val="none"/>
                <w:lang w:val="en-US" w:eastAsia="zh-CN"/>
              </w:rPr>
            </w:pPr>
            <w:r>
              <w:rPr>
                <w:highlight w:val="none"/>
              </w:rPr>
              <w:t>Note 1: Specify requirements for the feature with the following example band combination: CA_n5A-n29A in this WI, with additional band combinations to be handled via the basket work item approach</w:t>
            </w:r>
            <w:r>
              <w:rPr>
                <w:rFonts w:hint="eastAsia"/>
                <w:highlight w:val="none"/>
                <w:lang w:val="en-US" w:eastAsia="zh-CN"/>
              </w:rPr>
              <w:t xml:space="preserve"> </w:t>
            </w:r>
          </w:p>
          <w:p>
            <w:pPr>
              <w:pStyle w:val="32"/>
              <w:pageBreakBefore w:val="0"/>
              <w:kinsoku/>
              <w:wordWrap/>
              <w:overflowPunct/>
              <w:topLinePunct w:val="0"/>
              <w:autoSpaceDE/>
              <w:autoSpaceDN/>
              <w:bidi w:val="0"/>
              <w:adjustRightInd/>
              <w:snapToGrid/>
              <w:spacing w:line="240" w:lineRule="auto"/>
              <w:textAlignment w:val="auto"/>
              <w:rPr>
                <w:bCs/>
              </w:rPr>
            </w:pPr>
            <w:r>
              <w:t>Note 2: Strive to minimize the RAN1 impact</w:t>
            </w:r>
          </w:p>
          <w:p>
            <w:pPr>
              <w:pStyle w:val="4"/>
              <w:pageBreakBefore w:val="0"/>
              <w:widowControl w:val="0"/>
              <w:kinsoku/>
              <w:wordWrap/>
              <w:overflowPunct/>
              <w:topLinePunct w:val="0"/>
              <w:autoSpaceDE/>
              <w:autoSpaceDN/>
              <w:bidi w:val="0"/>
              <w:adjustRightInd/>
              <w:snapToGrid/>
              <w:spacing w:before="0" w:after="0" w:line="240" w:lineRule="auto"/>
              <w:jc w:val="both"/>
              <w:textAlignment w:val="auto"/>
              <w:rPr>
                <w:color w:val="0000FF"/>
              </w:rPr>
            </w:pPr>
            <w:r>
              <w:rPr>
                <w:color w:val="0000FF"/>
              </w:rPr>
              <w:t>4.2</w:t>
            </w:r>
            <w:r>
              <w:rPr>
                <w:color w:val="0000FF"/>
              </w:rPr>
              <w:tab/>
            </w:r>
            <w:r>
              <w:rPr>
                <w:color w:val="0000FF"/>
              </w:rPr>
              <w:t>Objective of Performance part WI</w:t>
            </w:r>
          </w:p>
          <w:p>
            <w:pPr>
              <w:pStyle w:val="32"/>
              <w:pageBreakBefore w:val="0"/>
              <w:kinsoku/>
              <w:wordWrap/>
              <w:overflowPunct/>
              <w:topLinePunct w:val="0"/>
              <w:autoSpaceDE/>
              <w:autoSpaceDN/>
              <w:bidi w:val="0"/>
              <w:adjustRightInd/>
              <w:snapToGrid/>
              <w:spacing w:line="240" w:lineRule="auto"/>
              <w:textAlignment w:val="auto"/>
              <w:rPr>
                <w:rFonts w:hint="default"/>
                <w:vertAlign w:val="baseline"/>
                <w:lang w:val="en-US" w:eastAsia="zh-CN"/>
              </w:rPr>
            </w:pPr>
            <w:r>
              <w:t>-</w:t>
            </w:r>
            <w:r>
              <w:tab/>
            </w:r>
            <w:r>
              <w:t>Specify RRM test cases</w:t>
            </w:r>
          </w:p>
        </w:tc>
      </w:tr>
    </w:tbl>
    <w:p>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This WID intends to support some low bands CA through Rx switching between FDD band and SDL band such as n5+n29. Due to their separation in frequency, the two bands are both low bands but can not be covered by common Rx antenna simultaneously. Although such band combinations are already specified in TS38.101-1, this practical implementation challenge may pose a barrier for the combination</w:t>
      </w:r>
      <w:r>
        <w:rPr>
          <w:rFonts w:hint="default" w:cs="Arial"/>
          <w:lang w:val="en-US" w:eastAsia="zh-CN"/>
        </w:rPr>
        <w:t>’</w:t>
      </w:r>
      <w:r>
        <w:rPr>
          <w:rFonts w:hint="eastAsia" w:cs="Arial"/>
          <w:lang w:val="en-US" w:eastAsia="zh-CN"/>
        </w:rPr>
        <w:t>s adoption in a wide range of devices. As a result the solution of Rx switching between the two bands is necessary to facilitate CA with such band combinations.</w:t>
      </w:r>
    </w:p>
    <w:p>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last RAN4#104 meeting, good discussion were held and some initial agreements were achieved in [2]. In this paper, we privode our further analysis on the following aspects:</w:t>
      </w:r>
    </w:p>
    <w:p>
      <w:pPr>
        <w:pStyle w:val="10"/>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General</w:t>
      </w:r>
    </w:p>
    <w:p>
      <w:pPr>
        <w:pStyle w:val="10"/>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Interruption requirements</w:t>
      </w:r>
    </w:p>
    <w:p>
      <w:pPr>
        <w:pStyle w:val="10"/>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SDL SCell related requirements</w:t>
      </w:r>
    </w:p>
    <w:p>
      <w:pPr>
        <w:pStyle w:val="10"/>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Impact on FDD PCell</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bidi w:val="0"/>
        <w:rPr>
          <w:rFonts w:hint="default"/>
          <w:lang w:val="en-US" w:eastAsia="zh-CN"/>
        </w:rPr>
      </w:pPr>
      <w:r>
        <w:rPr>
          <w:rFonts w:hint="eastAsia"/>
          <w:lang w:val="en-US" w:eastAsia="zh-CN"/>
        </w:rPr>
        <w:t>2.1 General</w:t>
      </w:r>
    </w:p>
    <w:p>
      <w:pPr>
        <w:pStyle w:val="10"/>
        <w:numPr>
          <w:ilvl w:val="0"/>
          <w:numId w:val="0"/>
        </w:numPr>
        <w:bidi w:val="0"/>
        <w:ind w:leftChars="0"/>
        <w:rPr>
          <w:rFonts w:hint="eastAsia"/>
          <w:u w:val="single"/>
          <w:lang w:val="en-US" w:eastAsia="zh-CN"/>
        </w:rPr>
      </w:pPr>
      <w:r>
        <w:rPr>
          <w:rFonts w:hint="eastAsia"/>
          <w:u w:val="single"/>
          <w:lang w:val="en-US" w:eastAsia="zh-CN"/>
        </w:rPr>
        <w:t>UL timing between the two low bands</w:t>
      </w:r>
    </w:p>
    <w:p>
      <w:pPr>
        <w:rPr>
          <w:rFonts w:hint="eastAsia" w:cs="Arial"/>
          <w:lang w:val="en-US" w:eastAsia="zh-CN"/>
        </w:rPr>
      </w:pPr>
      <w:r>
        <w:rPr>
          <w:rFonts w:hint="eastAsia" w:cs="Arial"/>
          <w:lang w:val="en-US" w:eastAsia="zh-CN"/>
        </w:rPr>
        <w:t>Around the timing, in last meeting, RAN4 sent LS to RAN1 to inform them from RAN4 perspective, at least UE should receive SSB within latest 160 ms for the sake of UL timing. When RAN1 design Rx switching pattern/periodicity, this point could be taken into consideration.</w:t>
      </w:r>
    </w:p>
    <w:p>
      <w:pPr>
        <w:pStyle w:val="10"/>
        <w:bidi w:val="0"/>
        <w:rPr>
          <w:rFonts w:hint="eastAsia"/>
          <w:lang w:val="en-US" w:eastAsia="zh-CN"/>
        </w:rPr>
      </w:pPr>
      <w:r>
        <w:rPr>
          <w:rFonts w:hint="eastAsia"/>
          <w:lang w:val="en-US" w:eastAsia="zh-CN"/>
        </w:rPr>
        <w:t xml:space="preserve">Based on specification in clause 7.1.1 in 38.133 as below, the reference cell used for providing DL frame could only be the SpCell for pTAG. So for the FDD plus SDL band combination, the FDD cell(PCell) is the reference cell.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3"/>
              <w:pageBreakBefore w:val="0"/>
              <w:kinsoku/>
              <w:wordWrap/>
              <w:overflowPunct/>
              <w:topLinePunct w:val="0"/>
              <w:autoSpaceDE/>
              <w:autoSpaceDN/>
              <w:bidi w:val="0"/>
              <w:adjustRightInd/>
              <w:snapToGrid/>
              <w:spacing w:before="0" w:after="0" w:line="240" w:lineRule="auto"/>
              <w:textAlignment w:val="auto"/>
            </w:pPr>
            <w:r>
              <w:t>7.1</w:t>
            </w:r>
            <w:r>
              <w:tab/>
            </w:r>
            <w:r>
              <w:t>UE transmit timing</w:t>
            </w:r>
          </w:p>
          <w:p>
            <w:pPr>
              <w:pStyle w:val="4"/>
              <w:pageBreakBefore w:val="0"/>
              <w:kinsoku/>
              <w:wordWrap/>
              <w:overflowPunct/>
              <w:topLinePunct w:val="0"/>
              <w:autoSpaceDE/>
              <w:autoSpaceDN/>
              <w:bidi w:val="0"/>
              <w:adjustRightInd/>
              <w:snapToGrid/>
              <w:spacing w:before="0" w:after="0" w:line="240" w:lineRule="auto"/>
              <w:textAlignment w:val="auto"/>
            </w:pPr>
            <w:r>
              <w:t>7.1.1</w:t>
            </w:r>
            <w:r>
              <w:tab/>
            </w:r>
            <w:r>
              <w:t>Introduction</w:t>
            </w:r>
          </w:p>
          <w:p>
            <w:pPr>
              <w:pageBreakBefore w:val="0"/>
              <w:kinsoku/>
              <w:wordWrap/>
              <w:overflowPunct/>
              <w:topLinePunct w:val="0"/>
              <w:autoSpaceDE/>
              <w:autoSpaceDN/>
              <w:bidi w:val="0"/>
              <w:adjustRightInd/>
              <w:snapToGrid/>
              <w:spacing w:line="240" w:lineRule="auto"/>
              <w:textAlignment w:val="auto"/>
              <w:rPr>
                <w:rFonts w:hint="default" w:eastAsia="宋体"/>
                <w:color w:val="0000FF"/>
                <w:sz w:val="15"/>
                <w:szCs w:val="15"/>
                <w:lang w:val="en-US" w:eastAsia="zh-CN"/>
              </w:rPr>
            </w:pPr>
            <w:r>
              <w:rPr>
                <w:rFonts w:cs="v4.2.0"/>
              </w:rPr>
              <w:t xml:space="preserve">The UE shall have capability to follow the frame timing change of the </w:t>
            </w:r>
            <w:r>
              <w:rPr>
                <w:highlight w:val="yellow"/>
              </w:rPr>
              <w:t>reference cell</w:t>
            </w:r>
            <w:r>
              <w:rPr>
                <w:rFonts w:cs="v4.2.0"/>
              </w:rPr>
              <w:t xml:space="preserve"> in connected </w:t>
            </w:r>
            <w:r>
              <w:t>state or when transmiting PUSCH on CG resources for SDT in RRC_Inactive</w:t>
            </w:r>
            <w:r>
              <w:rPr>
                <w:rFonts w:cs="v4.2.0"/>
              </w:rPr>
              <w:t>. The uplink frame transmission takes place</w:t>
            </w:r>
            <w:r>
              <w:rPr>
                <w:rFonts w:cs="v4.2.0"/>
                <w:vertAlign w:val="subscript"/>
              </w:rPr>
              <w:t xml:space="preserve"> </w:t>
            </w:r>
            <w:r>
              <w:rPr>
                <w:position w:val="-10"/>
              </w:rPr>
              <w:object>
                <v:shape id="_x0000_i1025" o:spt="75" type="#_x0000_t75" style="height:11.5pt;width:87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cs="v4.2.0"/>
              </w:rPr>
              <w:t xml:space="preserve"> before the reception of the first detected path (in time) of the </w:t>
            </w:r>
            <w:r>
              <w:rPr>
                <w:rFonts w:cs="v4.2.0"/>
                <w:highlight w:val="yellow"/>
              </w:rPr>
              <w:t>corresponding downlink frame</w:t>
            </w:r>
            <w:r>
              <w:rPr>
                <w:highlight w:val="yellow"/>
              </w:rPr>
              <w:t xml:space="preserve"> from the reference cell</w:t>
            </w:r>
            <w:r>
              <w:t xml:space="preserve">. For </w:t>
            </w:r>
            <w:r>
              <w:rPr>
                <w:lang w:eastAsia="ja-JP"/>
              </w:rPr>
              <w:t xml:space="preserve">serving cell(s) in </w:t>
            </w:r>
            <w:r>
              <w:rPr>
                <w:rFonts w:hint="eastAsia"/>
                <w:lang w:eastAsia="zh-CN"/>
              </w:rPr>
              <w:t>p</w:t>
            </w:r>
            <w:r>
              <w:t>TAG,</w:t>
            </w:r>
            <w:r>
              <w:rPr>
                <w:rFonts w:cs="v4.2.0"/>
              </w:rPr>
              <w:t xml:space="preserve"> </w:t>
            </w:r>
            <w:r>
              <w:t>UE shall use the SpCell as the reference cell for deriving the UE transmit timing for cells in the</w:t>
            </w:r>
            <w:r>
              <w:rPr>
                <w:highlight w:val="yellow"/>
              </w:rPr>
              <w:t xml:space="preserve"> </w:t>
            </w:r>
            <w:r>
              <w:rPr>
                <w:rFonts w:hint="eastAsia"/>
                <w:highlight w:val="yellow"/>
                <w:lang w:eastAsia="zh-CN"/>
              </w:rPr>
              <w:t>p</w:t>
            </w:r>
            <w:r>
              <w:rPr>
                <w:highlight w:val="yellow"/>
              </w:rPr>
              <w:t>TAG</w:t>
            </w:r>
            <w:r>
              <w:t xml:space="preserve">. </w:t>
            </w:r>
            <w:r>
              <w:rPr>
                <w:lang w:eastAsia="ja-JP"/>
              </w:rPr>
              <w:t xml:space="preserve">For serving cell(s) in </w:t>
            </w:r>
            <w:r>
              <w:rPr>
                <w:rFonts w:hint="eastAsia"/>
                <w:highlight w:val="yellow"/>
                <w:lang w:eastAsia="zh-CN"/>
              </w:rPr>
              <w:t>s</w:t>
            </w:r>
            <w:r>
              <w:rPr>
                <w:highlight w:val="yellow"/>
                <w:lang w:eastAsia="ja-JP"/>
              </w:rPr>
              <w:t>TAG</w:t>
            </w:r>
            <w:r>
              <w:rPr>
                <w:lang w:eastAsia="ja-JP"/>
              </w:rPr>
              <w:t xml:space="preserve">, </w:t>
            </w:r>
            <w:r>
              <w:t xml:space="preserve">UE shall use any of the </w:t>
            </w:r>
            <w:r>
              <w:rPr>
                <w:lang w:eastAsia="ja-JP"/>
              </w:rPr>
              <w:t xml:space="preserve">activated SCells </w:t>
            </w:r>
            <w:r>
              <w:t xml:space="preserve">as the reference cell for deriving the UE transmit timing for </w:t>
            </w:r>
            <w:r>
              <w:rPr>
                <w:lang w:eastAsia="ja-JP"/>
              </w:rPr>
              <w:t xml:space="preserve">the </w:t>
            </w:r>
            <w:r>
              <w:t xml:space="preserve">cells in the </w:t>
            </w:r>
            <w:r>
              <w:rPr>
                <w:rFonts w:hint="eastAsia"/>
                <w:lang w:eastAsia="zh-CN"/>
              </w:rPr>
              <w:t>s</w:t>
            </w:r>
            <w:r>
              <w:t xml:space="preserve">TAG. </w:t>
            </w:r>
            <w:r>
              <w:rPr>
                <w:rFonts w:cs="v4.2.0"/>
              </w:rPr>
              <w:t>UE initial transmit timing accuracy</w:t>
            </w:r>
            <w:r>
              <w:rPr>
                <w:rFonts w:hint="eastAsia" w:cs="v4.2.0"/>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hint="eastAsia" w:eastAsia="宋体" w:cs="v4.2.0"/>
                <w:lang w:val="en-US" w:eastAsia="zh-CN"/>
              </w:rPr>
              <w:t xml:space="preserve"> </w:t>
            </w:r>
          </w:p>
          <w:p>
            <w:pPr>
              <w:pageBreakBefore w:val="0"/>
              <w:kinsoku/>
              <w:wordWrap/>
              <w:overflowPunct/>
              <w:topLinePunct w:val="0"/>
              <w:autoSpaceDE/>
              <w:autoSpaceDN/>
              <w:bidi w:val="0"/>
              <w:adjustRightInd/>
              <w:snapToGrid/>
              <w:spacing w:line="240" w:lineRule="auto"/>
              <w:textAlignment w:val="auto"/>
              <w:rPr>
                <w:rFonts w:hint="eastAsia" w:eastAsia="宋体"/>
                <w:lang w:val="en-US" w:eastAsia="zh-CN"/>
              </w:rPr>
            </w:pPr>
            <w:r>
              <w:rPr>
                <w:rFonts w:hint="eastAsia" w:eastAsia="宋体"/>
                <w:lang w:val="en-US" w:eastAsia="zh-CN"/>
              </w:rPr>
              <w:t>...</w:t>
            </w:r>
          </w:p>
          <w:p>
            <w:pPr>
              <w:pStyle w:val="4"/>
              <w:pageBreakBefore w:val="0"/>
              <w:kinsoku/>
              <w:wordWrap/>
              <w:overflowPunct/>
              <w:topLinePunct w:val="0"/>
              <w:autoSpaceDE/>
              <w:autoSpaceDN/>
              <w:bidi w:val="0"/>
              <w:adjustRightInd/>
              <w:snapToGrid/>
              <w:spacing w:before="0" w:after="0" w:line="240" w:lineRule="auto"/>
              <w:textAlignment w:val="auto"/>
            </w:pPr>
            <w:r>
              <w:t>7.1.2</w:t>
            </w:r>
            <w:r>
              <w:tab/>
            </w:r>
            <w:r>
              <w:t>Requirements</w:t>
            </w:r>
          </w:p>
          <w:p>
            <w:pPr>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eastAsia="宋体"/>
                <w:lang w:val="en-US" w:eastAsia="zh-CN"/>
              </w:rPr>
            </w:pPr>
            <w:r>
              <w:rPr>
                <w:rFonts w:hint="eastAsia" w:eastAsia="宋体"/>
                <w:lang w:val="en-US" w:eastAsia="zh-CN"/>
              </w:rPr>
              <w:t>...</w:t>
            </w:r>
          </w:p>
          <w:p>
            <w:pPr>
              <w:pageBreakBefore w:val="0"/>
              <w:kinsoku/>
              <w:wordWrap/>
              <w:overflowPunct/>
              <w:topLinePunct w:val="0"/>
              <w:autoSpaceDE/>
              <w:autoSpaceDN/>
              <w:bidi w:val="0"/>
              <w:adjustRightInd/>
              <w:snapToGrid/>
              <w:spacing w:line="240" w:lineRule="auto"/>
              <w:textAlignment w:val="auto"/>
              <w:rPr>
                <w:rFonts w:cs="v4.2.0"/>
              </w:rPr>
            </w:pPr>
            <w:r>
              <w:rPr>
                <w:rFonts w:cs="v4.2.0"/>
                <w:highlight w:val="none"/>
              </w:rPr>
              <w:t xml:space="preserve">When the UL SCS is 120 kHz or smaller, the UE shall meet the Te requirement for an initial transmission provided that at least one SSB is available at the UE during the last 160 ms. </w:t>
            </w:r>
            <w:r>
              <w:rPr>
                <w:rFonts w:cs="v4.2.0"/>
              </w:rPr>
              <w:t xml:space="preserve">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w:t>
            </w:r>
          </w:p>
          <w:p>
            <w:pPr>
              <w:pageBreakBefore w:val="0"/>
              <w:kinsoku/>
              <w:wordWrap/>
              <w:overflowPunct/>
              <w:topLinePunct w:val="0"/>
              <w:autoSpaceDE/>
              <w:autoSpaceDN/>
              <w:bidi w:val="0"/>
              <w:adjustRightInd/>
              <w:snapToGrid/>
              <w:spacing w:line="240" w:lineRule="auto"/>
              <w:textAlignment w:val="auto"/>
              <w:rPr>
                <w:rFonts w:hint="eastAsia" w:eastAsia="宋体"/>
                <w:highlight w:val="none"/>
                <w:lang w:val="en-US" w:eastAsia="zh-CN"/>
              </w:rPr>
            </w:pPr>
            <w:r>
              <w:rPr>
                <w:rFonts w:cs="v4.2.0"/>
              </w:rPr>
              <w:t>The reference point for the UE initial transmit timing control requirement shall be the</w:t>
            </w:r>
            <w:r>
              <w:rPr>
                <w:rFonts w:cs="v4.2.0"/>
                <w:highlight w:val="yellow"/>
              </w:rPr>
              <w:t xml:space="preserve"> downlink timing of the reference cell</w:t>
            </w:r>
            <w:r>
              <w:rPr>
                <w:rFonts w:cs="v4.2.0"/>
              </w:rPr>
              <w:t xml:space="preserve"> minus </w:t>
            </w:r>
            <m:oMath>
              <m:d>
                <m:dPr>
                  <m:ctrlPr>
                    <w:rPr>
                      <w:rFonts w:ascii="Cambria Math" w:hAnsi="Cambria Math"/>
                      <w:i/>
                    </w:rPr>
                  </m:ctrlPr>
                </m:dPr>
                <m:e>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 offset</m:t>
                      </m:r>
                      <m:ctrlPr>
                        <w:rPr>
                          <w:rFonts w:ascii="Cambria Math" w:hAnsi="Cambria Math"/>
                        </w:rPr>
                      </m:ctrlPr>
                    </m:sub>
                  </m:sSub>
                  <m:ctrlPr>
                    <w:rPr>
                      <w:rFonts w:ascii="Cambria Math" w:hAnsi="Cambria Math"/>
                      <w:i/>
                    </w:rPr>
                  </m:ctrlPr>
                </m:e>
              </m:d>
              <m:r>
                <m:rPr/>
                <w:rPr>
                  <w:rFonts w:ascii="Cambria Math"/>
                </w:rPr>
                <m:t>×</m:t>
              </m:r>
              <m:sSub>
                <m:sSubPr>
                  <m:ctrlPr>
                    <w:rPr>
                      <w:rFonts w:ascii="Cambria Math" w:hAnsi="Cambria Math"/>
                      <w:i/>
                    </w:rPr>
                  </m:ctrlPr>
                </m:sSubPr>
                <m:e>
                  <m:r>
                    <m:rPr/>
                    <w:rPr>
                      <w:rFonts w:ascii="Cambria Math"/>
                    </w:rPr>
                    <m:t>T</m:t>
                  </m:r>
                  <m:ctrlPr>
                    <w:rPr>
                      <w:rFonts w:ascii="Cambria Math" w:hAnsi="Cambria Math"/>
                      <w:i/>
                    </w:rPr>
                  </m:ctrlPr>
                </m:e>
                <m:sub>
                  <m:r>
                    <m:rPr/>
                    <w:rPr>
                      <w:rFonts w:ascii="Cambria Math"/>
                    </w:rPr>
                    <m:t>c</m:t>
                  </m:r>
                  <m:ctrlPr>
                    <w:rPr>
                      <w:rFonts w:ascii="Cambria Math" w:hAnsi="Cambria Math"/>
                      <w:i/>
                    </w:rPr>
                  </m:ctrlPr>
                </m:sub>
              </m:sSub>
            </m:oMath>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pPr>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eastAsia="宋体"/>
                <w:lang w:val="en-US" w:eastAsia="zh-CN"/>
              </w:rPr>
            </w:pPr>
            <w:r>
              <w:rPr>
                <w:rFonts w:hint="eastAsia" w:eastAsia="宋体"/>
                <w:lang w:val="en-US" w:eastAsia="zh-CN"/>
              </w:rPr>
              <w:t>...</w:t>
            </w:r>
          </w:p>
        </w:tc>
      </w:tr>
    </w:tbl>
    <w:p>
      <w:pPr>
        <w:pStyle w:val="10"/>
        <w:bidi w:val="0"/>
        <w:rPr>
          <w:rFonts w:hint="eastAsia"/>
          <w:lang w:val="en-US" w:eastAsia="zh-CN"/>
        </w:rPr>
      </w:pPr>
      <w:r>
        <w:rPr>
          <w:rFonts w:hint="eastAsia"/>
          <w:lang w:val="en-US" w:eastAsia="zh-CN"/>
        </w:rPr>
        <w:t xml:space="preserve">One straightforward way is to design the switching pattern periodicity no larger than 160ms so as to make sure UE has chance to receive SSB from PCell before UL transmission. </w:t>
      </w:r>
    </w:p>
    <w:p>
      <w:pPr>
        <w:pStyle w:val="10"/>
        <w:bidi w:val="0"/>
        <w:rPr>
          <w:rFonts w:hint="eastAsia"/>
          <w:lang w:val="en-US" w:eastAsia="zh-CN"/>
        </w:rPr>
      </w:pPr>
      <w:r>
        <w:rPr>
          <w:rFonts w:hint="eastAsia"/>
          <w:lang w:val="en-US" w:eastAsia="zh-CN"/>
        </w:rPr>
        <w:t>If the straightforward can not meet, another alternative is to apply the LAA solution, allow reference cell change as captured in the clause 7.1.2 of 38.133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rPr>
                <w:rFonts w:hint="default"/>
                <w:sz w:val="21"/>
                <w:szCs w:val="21"/>
                <w:vertAlign w:val="baseline"/>
                <w:lang w:val="en-US" w:eastAsia="zh-CN"/>
              </w:rPr>
            </w:pPr>
            <w:r>
              <w:rPr>
                <w:lang w:eastAsia="ko-KR"/>
              </w:rPr>
              <w:t>If a reference cell on a carrier frequency belonging to the PTAG, which is subject to CCA, is not available at the UE then the UE is allowed to use any of available activated SCell(s) at the UE in PTAG as a new reference cell. If the SCell used as reference cell is deactivated, or becomes not available, the UE is allowed to use another active serving cell in PTAG as new reference cell.</w:t>
            </w:r>
          </w:p>
        </w:tc>
      </w:tr>
    </w:tbl>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cs="Arial"/>
          <w:lang w:val="en-US" w:eastAsia="zh-CN"/>
        </w:rPr>
      </w:pPr>
      <w:r>
        <w:rPr>
          <w:rFonts w:hint="eastAsia"/>
          <w:b/>
          <w:bCs/>
          <w:lang w:val="en-US" w:eastAsia="zh-CN"/>
        </w:rPr>
        <w:t>Proposal 1: If the switching pattern could ensure the SSB reception from PCell in last 160 ms before UL transmission, the DL timing referred to the initial UL transmission could be guaranteed. No additional spec impact. Otherwise, the LAA solution could be alternative.</w:t>
      </w:r>
    </w:p>
    <w:p>
      <w:pPr>
        <w:pStyle w:val="10"/>
        <w:bidi w:val="0"/>
        <w:rPr>
          <w:rFonts w:hint="default"/>
          <w:lang w:val="en-US" w:eastAsia="zh-CN"/>
        </w:rPr>
      </w:pPr>
      <w:r>
        <w:rPr>
          <w:rFonts w:hint="eastAsia"/>
          <w:lang w:val="en-US" w:eastAsia="zh-CN"/>
        </w:rPr>
        <w:t>UE can initiate RACH to achieve UL syn at either band but only one TAG is maintained for the FDD plus FDD band combination. For the FDD plus SDL band combination, since no UL demand at SDL band, the UL timing is only utilized for the FDD band. So it seems not any enhancement relevant to UL timing for the two low band CA.</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lang w:val="en-US" w:eastAsia="zh-CN"/>
        </w:rPr>
      </w:pPr>
      <w:r>
        <w:rPr>
          <w:rFonts w:hint="eastAsia"/>
          <w:b/>
          <w:bCs/>
          <w:lang w:val="en-US" w:eastAsia="zh-CN"/>
        </w:rPr>
        <w:t xml:space="preserve">Proposal 2: No additional enhancement is needed for UL timing. </w:t>
      </w:r>
    </w:p>
    <w:p>
      <w:pPr>
        <w:pStyle w:val="10"/>
        <w:numPr>
          <w:ilvl w:val="0"/>
          <w:numId w:val="0"/>
        </w:numPr>
        <w:bidi w:val="0"/>
        <w:ind w:leftChars="0"/>
        <w:rPr>
          <w:rFonts w:hint="eastAsia"/>
          <w:u w:val="single"/>
          <w:lang w:val="en-US" w:eastAsia="zh-CN"/>
        </w:rPr>
      </w:pPr>
      <w:r>
        <w:rPr>
          <w:rFonts w:hint="eastAsia"/>
          <w:u w:val="single"/>
          <w:lang w:val="en-US" w:eastAsia="zh-CN"/>
        </w:rPr>
        <w:t>UE procedures for the switching</w:t>
      </w:r>
    </w:p>
    <w:p>
      <w:pPr>
        <w:pStyle w:val="10"/>
        <w:numPr>
          <w:ilvl w:val="0"/>
          <w:numId w:val="0"/>
        </w:numPr>
        <w:bidi w:val="0"/>
        <w:ind w:leftChars="0"/>
        <w:rPr>
          <w:rFonts w:hint="eastAsia"/>
          <w:lang w:val="en-US" w:eastAsia="zh-CN"/>
        </w:rPr>
      </w:pPr>
      <w:r>
        <w:rPr>
          <w:rFonts w:hint="eastAsia"/>
          <w:lang w:val="en-US" w:eastAsia="zh-CN"/>
        </w:rPr>
        <w:t>If the periodicity of the switching pattern is very large, whether the UE could maintain the AGC and T/F syncronization until the UE retune to PCell/SCell from SCell/PCell, which should be discussed. To our understanding, if the periodicity of the switching pattern is in the granularity of ms, UE is assumed to maintain these info. But if the periodicity is as large as in the granularity of second, similar as the existing SCell activation procedure, when UE switches from current PCell/SCell to target SCell/PCell, before the UE could receive PDCCH/PDSCH, UE needs to re-track these info for the target SCell/PCell similar as what UE does during the SCell activation.</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lang w:val="en-US" w:eastAsia="zh-CN"/>
        </w:rPr>
      </w:pPr>
      <w:r>
        <w:rPr>
          <w:rFonts w:hint="eastAsia"/>
          <w:b/>
          <w:bCs/>
          <w:lang w:val="en-US" w:eastAsia="zh-CN"/>
        </w:rPr>
        <w:t>Proposal 3: RAN4 needs to discuss whether UE could maintain the AGC and T/F syncronization of the PCell/SCell when retuning from the SCell/PCell, if any side condion such as the periodicity of switching pattern needed.</w:t>
      </w:r>
    </w:p>
    <w:p>
      <w:pPr>
        <w:pStyle w:val="10"/>
        <w:numPr>
          <w:ilvl w:val="0"/>
          <w:numId w:val="0"/>
        </w:numPr>
        <w:bidi w:val="0"/>
        <w:ind w:leftChars="0"/>
        <w:rPr>
          <w:rFonts w:hint="default"/>
          <w:u w:val="single"/>
          <w:lang w:val="en-US" w:eastAsia="zh-CN"/>
        </w:rPr>
      </w:pPr>
      <w:r>
        <w:rPr>
          <w:rFonts w:hint="eastAsia"/>
          <w:u w:val="single"/>
          <w:lang w:val="en-US" w:eastAsia="zh-CN"/>
        </w:rPr>
        <w:t>Potential CSSF enhancement</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lang w:val="en-US" w:eastAsia="zh-CN"/>
        </w:rPr>
      </w:pPr>
      <w:r>
        <w:rPr>
          <w:rFonts w:hint="eastAsia"/>
          <w:lang w:val="en-US" w:eastAsia="zh-CN"/>
        </w:rPr>
        <w:t>No matter during the PCell ON period or SCell ON period, since only PCell or SCell is ON at a time instance, which leads some room to enhance the existing CSSF assumption. There are 2 searchers are assumed in existing CSSF determination for all the MOs without gap, the 1</w:t>
      </w:r>
      <w:r>
        <w:rPr>
          <w:rFonts w:hint="eastAsia"/>
          <w:vertAlign w:val="superscript"/>
          <w:lang w:val="en-US" w:eastAsia="zh-CN"/>
        </w:rPr>
        <w:t>st</w:t>
      </w:r>
      <w:r>
        <w:rPr>
          <w:rFonts w:hint="eastAsia"/>
          <w:lang w:val="en-US" w:eastAsia="zh-CN"/>
        </w:rPr>
        <w:t xml:space="preserve"> searcher is exclusively occupied by PCell and the 2</w:t>
      </w:r>
      <w:r>
        <w:rPr>
          <w:rFonts w:hint="eastAsia"/>
          <w:vertAlign w:val="superscript"/>
          <w:lang w:val="en-US" w:eastAsia="zh-CN"/>
        </w:rPr>
        <w:t>nd</w:t>
      </w:r>
      <w:r>
        <w:rPr>
          <w:rFonts w:hint="eastAsia"/>
          <w:lang w:val="en-US" w:eastAsia="zh-CN"/>
        </w:rPr>
        <w:t xml:space="preserve"> one is shared by SCell and all other intra-frequency/inter-frequency/inter-RAT MOs. </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lang w:val="en-US" w:eastAsia="zh-CN"/>
        </w:rPr>
      </w:pPr>
      <w:r>
        <w:rPr>
          <w:rFonts w:hint="eastAsia"/>
          <w:lang w:val="en-US" w:eastAsia="zh-CN"/>
        </w:rPr>
        <w:t>When the switching pattern is enabled, during the SCell ON duration, if UE has to perform the PCell measurement within gap, actually the 1</w:t>
      </w:r>
      <w:r>
        <w:rPr>
          <w:rFonts w:hint="eastAsia"/>
          <w:vertAlign w:val="superscript"/>
          <w:lang w:val="en-US" w:eastAsia="zh-CN"/>
        </w:rPr>
        <w:t>st</w:t>
      </w:r>
      <w:r>
        <w:rPr>
          <w:rFonts w:hint="eastAsia"/>
          <w:lang w:val="en-US" w:eastAsia="zh-CN"/>
        </w:rPr>
        <w:t xml:space="preserve"> searcher could be released from the PCell measurement and be used to accelerate the SCC/intra-frequency/inter-frequency/inter-RAT MOs measurement. During the PCell ON duration, if no SCell to be measured outside gap, the searcher resource originally allocated to SCell measurement could also be released.</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lang w:val="en-US" w:eastAsia="zh-CN"/>
        </w:rPr>
      </w:pPr>
      <w:r>
        <w:rPr>
          <w:rFonts w:hint="eastAsia"/>
          <w:b/>
          <w:bCs/>
          <w:lang w:val="en-US" w:eastAsia="zh-CN"/>
        </w:rPr>
        <w:t>Proposal 4: RAN4 needs to discuss the potential CSSF</w:t>
      </w:r>
      <w:r>
        <w:rPr>
          <w:rFonts w:hint="eastAsia"/>
          <w:b/>
          <w:bCs/>
          <w:sz w:val="11"/>
          <w:szCs w:val="11"/>
          <w:lang w:val="en-US" w:eastAsia="zh-CN"/>
        </w:rPr>
        <w:t>outside_gap</w:t>
      </w:r>
      <w:r>
        <w:rPr>
          <w:rFonts w:hint="eastAsia"/>
          <w:b/>
          <w:bCs/>
          <w:lang w:val="en-US" w:eastAsia="zh-CN"/>
        </w:rPr>
        <w:t xml:space="preserve"> enhancement since the PCell measurement and SCell measurement are in sequence instead of in parallel.</w:t>
      </w:r>
    </w:p>
    <w:p>
      <w:pPr>
        <w:pStyle w:val="3"/>
        <w:bidi w:val="0"/>
        <w:rPr>
          <w:rFonts w:hint="default"/>
          <w:lang w:val="en-US" w:eastAsia="zh-CN"/>
        </w:rPr>
      </w:pPr>
      <w:r>
        <w:rPr>
          <w:rFonts w:hint="eastAsia"/>
          <w:lang w:val="en-US" w:eastAsia="zh-CN"/>
        </w:rPr>
        <w:t>2.2 Interruption requirements</w:t>
      </w:r>
    </w:p>
    <w:p>
      <w:pPr>
        <w:rPr>
          <w:rFonts w:hint="eastAsia" w:cs="Arial"/>
          <w:lang w:val="en-US" w:eastAsia="zh-CN"/>
        </w:rPr>
      </w:pPr>
      <w:r>
        <w:rPr>
          <w:rFonts w:hint="eastAsia" w:cs="Arial"/>
          <w:lang w:val="en-US" w:eastAsia="zh-CN"/>
        </w:rPr>
        <w:t>In last meeting, around the switching delay requirements, RAN4 achieved the following agreements: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numPr>
                <w:ilvl w:val="0"/>
                <w:numId w:val="0"/>
              </w:numPr>
              <w:kinsoku/>
              <w:wordWrap/>
              <w:overflowPunct/>
              <w:topLinePunct w:val="0"/>
              <w:autoSpaceDE/>
              <w:bidi w:val="0"/>
              <w:adjustRightInd/>
              <w:textAlignment w:val="auto"/>
              <w:rPr>
                <w:rFonts w:hint="eastAsia" w:eastAsia="宋体"/>
                <w:b/>
                <w:bCs/>
                <w:color w:val="auto"/>
                <w:lang w:val="en-US" w:eastAsia="zh-CN"/>
              </w:rPr>
            </w:pPr>
            <w:r>
              <w:rPr>
                <w:rFonts w:eastAsia="宋体"/>
                <w:b/>
                <w:bCs/>
                <w:color w:val="auto"/>
              </w:rPr>
              <w:t>Switch delay requirements</w:t>
            </w:r>
            <w:r>
              <w:rPr>
                <w:rFonts w:hint="eastAsia" w:eastAsia="宋体"/>
                <w:b/>
                <w:bCs/>
                <w:color w:val="auto"/>
                <w:lang w:val="en-US" w:eastAsia="zh-CN"/>
              </w:rPr>
              <w:t>:</w:t>
            </w:r>
          </w:p>
          <w:p>
            <w:pPr>
              <w:pStyle w:val="30"/>
              <w:keepNext w:val="0"/>
              <w:keepLines w:val="0"/>
              <w:pageBreakBefore w:val="0"/>
              <w:widowControl w:val="0"/>
              <w:kinsoku/>
              <w:wordWrap/>
              <w:overflowPunct/>
              <w:topLinePunct w:val="0"/>
              <w:autoSpaceDE/>
              <w:autoSpaceDN/>
              <w:bidi w:val="0"/>
              <w:adjustRightInd/>
              <w:ind w:left="1080" w:leftChars="0" w:firstLine="0" w:firstLineChars="0"/>
              <w:textAlignment w:val="auto"/>
              <w:rPr>
                <w:rFonts w:eastAsia="宋体"/>
                <w:color w:val="auto"/>
                <w:highlight w:val="green"/>
              </w:rPr>
            </w:pPr>
            <w:r>
              <w:rPr>
                <w:rFonts w:eastAsia="宋体"/>
                <w:color w:val="auto"/>
                <w:highlight w:val="green"/>
              </w:rPr>
              <w:t>Agreement:</w:t>
            </w:r>
          </w:p>
          <w:p>
            <w:pPr>
              <w:keepNext w:val="0"/>
              <w:keepLines w:val="0"/>
              <w:pageBreakBefore w:val="0"/>
              <w:widowControl w:val="0"/>
              <w:numPr>
                <w:ilvl w:val="0"/>
                <w:numId w:val="6"/>
              </w:numPr>
              <w:kinsoku/>
              <w:wordWrap/>
              <w:overflowPunct/>
              <w:topLinePunct w:val="0"/>
              <w:autoSpaceDE/>
              <w:bidi w:val="0"/>
              <w:adjustRightInd/>
              <w:ind w:left="516" w:leftChars="0" w:hanging="360" w:firstLineChars="0"/>
              <w:textAlignment w:val="auto"/>
              <w:rPr>
                <w:rFonts w:hint="default" w:cs="Arial"/>
                <w:vertAlign w:val="baseline"/>
                <w:lang w:val="en-US" w:eastAsia="zh-CN"/>
              </w:rPr>
            </w:pPr>
            <w:r>
              <w:rPr>
                <w:rFonts w:eastAsia="宋体"/>
                <w:color w:val="auto"/>
              </w:rPr>
              <w:t>The switching delay between operating the FDD and SDL carrier is to be discussed in the RF session. RAN4 RRM not to define additional switch delay in RRM.</w:t>
            </w:r>
          </w:p>
        </w:tc>
      </w:tr>
    </w:tbl>
    <w:p>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Similar as the discussion on Tx switching before, RF session would determine the time mask and switching period for Rx switching. From RRM perspective, we can wait for RF conclusion and decide whether need to define any interruption requirements.</w:t>
      </w:r>
    </w:p>
    <w:p>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114 meeting, RF session achieved the following agreements around the switching period: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0"/>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Arial" w:hAnsi="Arial" w:eastAsia="宋体" w:cs="Arial"/>
                <w:bCs/>
                <w:kern w:val="2"/>
                <w:sz w:val="20"/>
                <w:szCs w:val="20"/>
                <w:lang w:val="en-US" w:eastAsia="zh-CN"/>
              </w:rPr>
            </w:pPr>
            <w:r>
              <w:rPr>
                <w:rFonts w:eastAsia="宋体"/>
                <w:color w:val="auto"/>
                <w:highlight w:val="green"/>
              </w:rPr>
              <w:t>Agreement</w:t>
            </w:r>
            <w:r>
              <w:rPr>
                <w:rFonts w:hint="eastAsia"/>
                <w:color w:val="auto"/>
                <w:highlight w:val="green"/>
                <w:lang w:val="en-US" w:eastAsia="zh-CN"/>
              </w:rPr>
              <w:t xml:space="preserve"> in RF session:</w:t>
            </w:r>
          </w:p>
          <w:p>
            <w:pPr>
              <w:pStyle w:val="32"/>
              <w:keepNext w:val="0"/>
              <w:keepLines w:val="0"/>
              <w:pageBreakBefore w:val="0"/>
              <w:kinsoku/>
              <w:wordWrap/>
              <w:overflowPunct/>
              <w:topLinePunct w:val="0"/>
              <w:autoSpaceDE/>
              <w:autoSpaceDN/>
              <w:bidi w:val="0"/>
              <w:adjustRightInd/>
              <w:snapToGrid/>
              <w:spacing w:after="0"/>
              <w:textAlignment w:val="auto"/>
              <w:rPr>
                <w:rFonts w:ascii="Arial" w:hAnsi="Arial" w:eastAsia="DengXian" w:cs="Arial"/>
                <w:bCs/>
                <w:kern w:val="2"/>
                <w:sz w:val="20"/>
                <w:szCs w:val="20"/>
                <w:lang w:val="en-US" w:eastAsia="zh-CN"/>
              </w:rPr>
            </w:pPr>
            <w:r>
              <w:rPr>
                <w:rFonts w:ascii="Arial" w:hAnsi="Arial" w:eastAsia="DengXian" w:cs="Arial"/>
                <w:bCs/>
                <w:kern w:val="2"/>
                <w:sz w:val="20"/>
                <w:szCs w:val="20"/>
                <w:lang w:val="en-US" w:eastAsia="zh-CN"/>
              </w:rPr>
              <w:t>-</w:t>
            </w:r>
            <w:r>
              <w:rPr>
                <w:rFonts w:ascii="Arial" w:hAnsi="Arial" w:eastAsia="DengXian" w:cs="Arial"/>
                <w:bCs/>
                <w:kern w:val="2"/>
                <w:sz w:val="20"/>
                <w:szCs w:val="20"/>
                <w:lang w:val="en-US" w:eastAsia="zh-CN"/>
              </w:rPr>
              <w:tab/>
            </w:r>
            <w:r>
              <w:rPr>
                <w:rFonts w:ascii="Arial" w:hAnsi="Arial" w:eastAsia="DengXian" w:cs="Arial"/>
                <w:bCs/>
                <w:kern w:val="2"/>
                <w:sz w:val="20"/>
                <w:szCs w:val="20"/>
                <w:lang w:val="en-US" w:eastAsia="zh-CN"/>
              </w:rPr>
              <w:t>Define switching periods between FDD low band and SDL low band with the following values as a UE capability to accommodate different UE implementations</w:t>
            </w:r>
          </w:p>
          <w:p>
            <w:pPr>
              <w:pStyle w:val="32"/>
              <w:keepNext w:val="0"/>
              <w:keepLines w:val="0"/>
              <w:pageBreakBefore w:val="0"/>
              <w:kinsoku/>
              <w:wordWrap/>
              <w:overflowPunct/>
              <w:topLinePunct w:val="0"/>
              <w:autoSpaceDE/>
              <w:autoSpaceDN/>
              <w:bidi w:val="0"/>
              <w:adjustRightInd/>
              <w:snapToGrid/>
              <w:spacing w:after="0"/>
              <w:ind w:leftChars="300"/>
              <w:textAlignment w:val="auto"/>
              <w:rPr>
                <w:rFonts w:hint="default" w:cs="Arial"/>
                <w:vertAlign w:val="baseline"/>
                <w:lang w:val="en-US" w:eastAsia="zh-CN"/>
              </w:rPr>
            </w:pPr>
            <w:r>
              <w:rPr>
                <w:rFonts w:ascii="Arial" w:hAnsi="Arial" w:eastAsia="DengXian" w:cs="Arial"/>
                <w:bCs/>
                <w:kern w:val="2"/>
                <w:sz w:val="20"/>
                <w:szCs w:val="20"/>
                <w:lang w:val="en-US" w:eastAsia="zh-CN"/>
              </w:rPr>
              <w:t>-</w:t>
            </w:r>
            <w:r>
              <w:rPr>
                <w:rFonts w:ascii="Arial" w:hAnsi="Arial" w:eastAsia="DengXian" w:cs="Arial"/>
                <w:bCs/>
                <w:kern w:val="2"/>
                <w:sz w:val="20"/>
                <w:szCs w:val="20"/>
                <w:lang w:val="en-US" w:eastAsia="zh-CN"/>
              </w:rPr>
              <w:tab/>
            </w:r>
            <w:r>
              <w:rPr>
                <w:rFonts w:ascii="Arial" w:hAnsi="Arial" w:eastAsia="DengXian" w:cs="Arial"/>
                <w:bCs/>
                <w:kern w:val="2"/>
                <w:sz w:val="20"/>
                <w:szCs w:val="20"/>
                <w:lang w:val="en-US" w:eastAsia="zh-CN"/>
              </w:rPr>
              <w:t>35us, 140us</w:t>
            </w:r>
          </w:p>
        </w:tc>
      </w:tr>
    </w:tbl>
    <w:p>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 xml:space="preserve">During the switching period, the UE has to perform the antenna retuning and PLL resetting to accomodate the switching from the current band to the succedent band. So the corresponding interruption on the two bands exists during the switching period. Regarding the interruption length, besides the switching period, some synchronization error between the current band the succedent band has to be involved in to determine the interruption length. How to define the synchronization error between the two bands, warm discussion were held in last meeting, finally the solution of reusing the cell phase error in existing TDD is excluded and the BS TAE are taken into consideration to depict the synchronization error.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0"/>
              <w:keepNext w:val="0"/>
              <w:keepLines w:val="0"/>
              <w:pageBreakBefore w:val="0"/>
              <w:widowControl w:val="0"/>
              <w:numPr>
                <w:ilvl w:val="0"/>
                <w:numId w:val="0"/>
              </w:numPr>
              <w:kinsoku/>
              <w:wordWrap/>
              <w:overflowPunct/>
              <w:topLinePunct w:val="0"/>
              <w:autoSpaceDE/>
              <w:autoSpaceDN/>
              <w:bidi w:val="0"/>
              <w:adjustRightInd/>
              <w:textAlignment w:val="auto"/>
              <w:rPr>
                <w:rFonts w:hint="eastAsia" w:eastAsia="宋体"/>
                <w:b/>
                <w:bCs/>
                <w:color w:val="auto"/>
                <w:lang w:val="en-US" w:eastAsia="zh-CN"/>
              </w:rPr>
            </w:pPr>
            <w:r>
              <w:rPr>
                <w:rFonts w:eastAsia="宋体"/>
                <w:b/>
                <w:bCs/>
                <w:color w:val="auto"/>
              </w:rPr>
              <w:t>Synchronization requirements for FDD and synchronization accuracy at BS antenna connectors or radiated interface boundaries</w:t>
            </w:r>
            <w:r>
              <w:rPr>
                <w:rFonts w:hint="eastAsia"/>
                <w:b/>
                <w:bCs/>
                <w:color w:val="auto"/>
                <w:lang w:val="en-US" w:eastAsia="zh-CN"/>
              </w:rPr>
              <w:t>:</w:t>
            </w:r>
          </w:p>
          <w:p>
            <w:pPr>
              <w:pStyle w:val="30"/>
              <w:keepNext w:val="0"/>
              <w:keepLines w:val="0"/>
              <w:pageBreakBefore w:val="0"/>
              <w:widowControl w:val="0"/>
              <w:kinsoku/>
              <w:wordWrap/>
              <w:overflowPunct/>
              <w:topLinePunct w:val="0"/>
              <w:autoSpaceDE/>
              <w:autoSpaceDN/>
              <w:bidi w:val="0"/>
              <w:adjustRightInd/>
              <w:ind w:left="1080" w:leftChars="0" w:firstLine="0" w:firstLineChars="0"/>
              <w:textAlignment w:val="auto"/>
              <w:rPr>
                <w:rFonts w:eastAsia="宋体"/>
                <w:color w:val="auto"/>
                <w:highlight w:val="green"/>
              </w:rPr>
            </w:pPr>
            <w:r>
              <w:rPr>
                <w:rFonts w:eastAsia="宋体"/>
                <w:color w:val="auto"/>
                <w:highlight w:val="green"/>
              </w:rPr>
              <w:t>Agreement:</w:t>
            </w:r>
          </w:p>
          <w:p>
            <w:pPr>
              <w:keepNext w:val="0"/>
              <w:keepLines w:val="0"/>
              <w:pageBreakBefore w:val="0"/>
              <w:widowControl w:val="0"/>
              <w:numPr>
                <w:ilvl w:val="0"/>
                <w:numId w:val="6"/>
              </w:numPr>
              <w:kinsoku/>
              <w:wordWrap/>
              <w:overflowPunct/>
              <w:topLinePunct w:val="0"/>
              <w:autoSpaceDE/>
              <w:bidi w:val="0"/>
              <w:adjustRightInd/>
              <w:ind w:left="516" w:leftChars="0" w:hanging="360" w:firstLineChars="0"/>
              <w:textAlignment w:val="auto"/>
              <w:rPr>
                <w:rFonts w:eastAsia="宋体"/>
                <w:color w:val="auto"/>
              </w:rPr>
            </w:pPr>
            <w:r>
              <w:rPr>
                <w:rFonts w:eastAsia="宋体"/>
                <w:color w:val="auto"/>
              </w:rPr>
              <w:t>No need to define new cell phase synchronization requirement in RRM spec for R19 LB CA via switching.</w:t>
            </w:r>
          </w:p>
          <w:p>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eastAsia" w:ascii="Calibri" w:hAnsi="Calibri" w:eastAsia="宋体" w:cs="Times New Roman"/>
                <w:b/>
                <w:bCs/>
                <w:color w:val="auto"/>
                <w:kern w:val="2"/>
                <w:sz w:val="21"/>
                <w:szCs w:val="22"/>
                <w:lang w:val="en-US" w:eastAsia="zh-CN" w:bidi="ar-SA"/>
              </w:rPr>
            </w:pPr>
            <w:r>
              <w:rPr>
                <w:rFonts w:ascii="Calibri" w:hAnsi="Calibri" w:eastAsia="宋体" w:cs="Times New Roman"/>
                <w:b/>
                <w:bCs/>
                <w:color w:val="auto"/>
                <w:kern w:val="2"/>
                <w:sz w:val="21"/>
                <w:szCs w:val="22"/>
                <w:lang w:val="en-US" w:eastAsia="ko-KR" w:bidi="ar-SA"/>
              </w:rPr>
              <w:t>Assumptions for R19 LB CA via switching</w:t>
            </w:r>
            <w:r>
              <w:rPr>
                <w:rFonts w:hint="eastAsia" w:ascii="Calibri" w:hAnsi="Calibri" w:eastAsia="宋体" w:cs="Times New Roman"/>
                <w:b/>
                <w:bCs/>
                <w:color w:val="auto"/>
                <w:kern w:val="2"/>
                <w:sz w:val="21"/>
                <w:szCs w:val="22"/>
                <w:lang w:val="en-US" w:eastAsia="zh-CN" w:bidi="ar-SA"/>
              </w:rPr>
              <w:t>:</w:t>
            </w:r>
          </w:p>
          <w:p>
            <w:pPr>
              <w:keepNext w:val="0"/>
              <w:keepLines w:val="0"/>
              <w:pageBreakBefore w:val="0"/>
              <w:widowControl w:val="0"/>
              <w:kinsoku/>
              <w:wordWrap/>
              <w:overflowPunct/>
              <w:topLinePunct w:val="0"/>
              <w:autoSpaceDE/>
              <w:autoSpaceDN w:val="0"/>
              <w:bidi w:val="0"/>
              <w:adjustRightInd/>
              <w:snapToGrid w:val="0"/>
              <w:textAlignment w:val="auto"/>
              <w:rPr>
                <w:color w:val="auto"/>
                <w:szCs w:val="21"/>
                <w:highlight w:val="green"/>
              </w:rPr>
            </w:pPr>
            <w:r>
              <w:rPr>
                <w:rFonts w:hint="eastAsia"/>
                <w:color w:val="auto"/>
                <w:szCs w:val="21"/>
                <w:highlight w:val="green"/>
              </w:rPr>
              <w:t>A</w:t>
            </w:r>
            <w:r>
              <w:rPr>
                <w:color w:val="auto"/>
                <w:szCs w:val="21"/>
                <w:highlight w:val="green"/>
              </w:rPr>
              <w:t>greement:</w:t>
            </w:r>
          </w:p>
          <w:p>
            <w:pPr>
              <w:keepNext w:val="0"/>
              <w:keepLines w:val="0"/>
              <w:pageBreakBefore w:val="0"/>
              <w:widowControl w:val="0"/>
              <w:numPr>
                <w:ilvl w:val="0"/>
                <w:numId w:val="6"/>
              </w:numPr>
              <w:kinsoku/>
              <w:wordWrap/>
              <w:overflowPunct/>
              <w:topLinePunct w:val="0"/>
              <w:autoSpaceDE/>
              <w:bidi w:val="0"/>
              <w:adjustRightInd/>
              <w:ind w:left="516" w:leftChars="0" w:hanging="360" w:firstLineChars="0"/>
              <w:textAlignment w:val="auto"/>
              <w:rPr>
                <w:color w:val="auto"/>
                <w:szCs w:val="21"/>
              </w:rPr>
            </w:pPr>
            <w:r>
              <w:rPr>
                <w:rFonts w:hint="eastAsia"/>
                <w:color w:val="auto"/>
                <w:szCs w:val="21"/>
              </w:rPr>
              <w:t>A</w:t>
            </w:r>
            <w:r>
              <w:rPr>
                <w:color w:val="auto"/>
                <w:szCs w:val="21"/>
              </w:rPr>
              <w:t xml:space="preserve">s generic assumption for discussing the RRM requirement, the received timing difference between the two bands at UE is within a value in option 1 or option 2, unless other TAE requirement will be defined in RF session. </w:t>
            </w:r>
          </w:p>
          <w:p>
            <w:pPr>
              <w:pStyle w:val="30"/>
              <w:keepNext w:val="0"/>
              <w:keepLines w:val="0"/>
              <w:pageBreakBefore w:val="0"/>
              <w:widowControl w:val="0"/>
              <w:numPr>
                <w:ilvl w:val="0"/>
                <w:numId w:val="7"/>
              </w:numPr>
              <w:kinsoku/>
              <w:wordWrap/>
              <w:overflowPunct/>
              <w:topLinePunct w:val="0"/>
              <w:autoSpaceDE/>
              <w:bidi w:val="0"/>
              <w:adjustRightInd/>
              <w:snapToGrid w:val="0"/>
              <w:ind w:left="1124" w:leftChars="0" w:firstLineChars="0"/>
              <w:textAlignment w:val="auto"/>
              <w:rPr>
                <w:rFonts w:hint="eastAsia" w:ascii="Calibri" w:hAnsi="Calibri" w:eastAsia="宋体" w:cs="Times New Roman"/>
                <w:b/>
                <w:bCs/>
                <w:color w:val="auto"/>
                <w:kern w:val="2"/>
                <w:sz w:val="21"/>
                <w:szCs w:val="22"/>
                <w:lang w:val="en-US" w:eastAsia="zh-CN" w:bidi="ar-SA"/>
              </w:rPr>
            </w:pPr>
            <w:r>
              <w:rPr>
                <w:rFonts w:hint="eastAsia"/>
                <w:color w:val="auto"/>
                <w:szCs w:val="21"/>
              </w:rPr>
              <w:t>O</w:t>
            </w:r>
            <w:r>
              <w:rPr>
                <w:color w:val="auto"/>
                <w:szCs w:val="21"/>
              </w:rPr>
              <w:t>ption 1: 4.67us</w:t>
            </w:r>
            <w:r>
              <w:rPr>
                <w:rFonts w:hint="eastAsia"/>
                <w:color w:val="auto"/>
                <w:szCs w:val="21"/>
                <w:lang w:val="en-US" w:eastAsia="zh-CN"/>
              </w:rPr>
              <w:t xml:space="preserve"> </w:t>
            </w:r>
          </w:p>
          <w:p>
            <w:pPr>
              <w:pStyle w:val="30"/>
              <w:keepNext w:val="0"/>
              <w:keepLines w:val="0"/>
              <w:pageBreakBefore w:val="0"/>
              <w:widowControl w:val="0"/>
              <w:numPr>
                <w:ilvl w:val="0"/>
                <w:numId w:val="7"/>
              </w:numPr>
              <w:kinsoku/>
              <w:wordWrap/>
              <w:overflowPunct/>
              <w:topLinePunct w:val="0"/>
              <w:autoSpaceDE/>
              <w:bidi w:val="0"/>
              <w:adjustRightInd/>
              <w:snapToGrid w:val="0"/>
              <w:ind w:left="1124" w:leftChars="0" w:firstLineChars="0"/>
              <w:textAlignment w:val="auto"/>
              <w:rPr>
                <w:rFonts w:hint="eastAsia" w:ascii="Calibri" w:hAnsi="Calibri" w:eastAsia="宋体" w:cs="Times New Roman"/>
                <w:b/>
                <w:bCs/>
                <w:color w:val="auto"/>
                <w:kern w:val="2"/>
                <w:sz w:val="21"/>
                <w:szCs w:val="22"/>
                <w:lang w:val="en-US" w:eastAsia="zh-CN" w:bidi="ar-SA"/>
              </w:rPr>
            </w:pPr>
            <w:r>
              <w:rPr>
                <w:color w:val="auto"/>
                <w:szCs w:val="21"/>
              </w:rPr>
              <w:t>Option 2: 3 us</w:t>
            </w:r>
          </w:p>
        </w:tc>
      </w:tr>
    </w:tbl>
    <w:p>
      <w:pPr>
        <w:pStyle w:val="10"/>
        <w:bidi w:val="0"/>
        <w:rPr>
          <w:rFonts w:hint="default"/>
          <w:lang w:val="en-US" w:eastAsia="zh-CN"/>
        </w:rPr>
      </w:pPr>
      <w:r>
        <w:rPr>
          <w:rFonts w:hint="eastAsia"/>
          <w:lang w:val="en-US" w:eastAsia="zh-CN"/>
        </w:rPr>
        <w:t>It is clarified that the low band CA focuses on the co-located and single TAG deployment @ 15kHz SCS. iIn R18 inter-band SSB-less deployment, the RTD between the two bands is not larger the CP of 15kHz(BS TAE dominates the RTD). So currently two options for the RTD between the two bands are on the table.</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7"/>
        <w:gridCol w:w="1632"/>
        <w:gridCol w:w="1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7" w:type="dxa"/>
          </w:tcPr>
          <w:p>
            <w:pPr>
              <w:spacing w:after="120"/>
              <w:jc w:val="both"/>
              <w:rPr>
                <w:rFonts w:hint="default" w:eastAsia="宋体" w:asciiTheme="minorHAnsi" w:hAnsiTheme="minorHAnsi" w:cstheme="minorHAnsi"/>
                <w:iCs/>
                <w:color w:val="auto"/>
                <w:szCs w:val="20"/>
                <w:vertAlign w:val="baseline"/>
                <w:lang w:val="en-US" w:eastAsia="zh-CN"/>
              </w:rPr>
            </w:pPr>
            <w:r>
              <w:rPr>
                <w:rFonts w:hint="eastAsia" w:asciiTheme="minorHAnsi" w:hAnsiTheme="minorHAnsi" w:cstheme="minorHAnsi"/>
                <w:iCs/>
                <w:color w:val="auto"/>
                <w:szCs w:val="20"/>
                <w:vertAlign w:val="baseline"/>
                <w:lang w:val="en-US" w:eastAsia="zh-CN"/>
              </w:rPr>
              <w:t>Case</w:t>
            </w:r>
          </w:p>
        </w:tc>
        <w:tc>
          <w:tcPr>
            <w:tcW w:w="1632" w:type="dxa"/>
          </w:tcPr>
          <w:p>
            <w:pPr>
              <w:spacing w:after="120"/>
              <w:jc w:val="both"/>
              <w:rPr>
                <w:rFonts w:hint="default" w:eastAsia="宋体" w:asciiTheme="minorHAnsi" w:hAnsiTheme="minorHAnsi" w:cstheme="minorHAnsi"/>
                <w:iCs/>
                <w:color w:val="auto"/>
                <w:szCs w:val="20"/>
                <w:vertAlign w:val="baseline"/>
                <w:lang w:val="en-US" w:eastAsia="zh-CN"/>
              </w:rPr>
            </w:pPr>
            <w:r>
              <w:rPr>
                <w:rFonts w:hint="eastAsia" w:eastAsia="宋体" w:asciiTheme="minorHAnsi" w:hAnsiTheme="minorHAnsi" w:cstheme="minorHAnsi"/>
                <w:iCs/>
                <w:color w:val="auto"/>
                <w:szCs w:val="20"/>
                <w:vertAlign w:val="baseline"/>
                <w:lang w:val="en-US" w:eastAsia="zh-CN"/>
              </w:rPr>
              <w:t>BS TAE</w:t>
            </w:r>
          </w:p>
        </w:tc>
        <w:tc>
          <w:tcPr>
            <w:tcW w:w="1632" w:type="dxa"/>
          </w:tcPr>
          <w:p>
            <w:pPr>
              <w:spacing w:after="120"/>
              <w:jc w:val="both"/>
              <w:rPr>
                <w:rFonts w:hint="default" w:asciiTheme="minorHAnsi" w:hAnsiTheme="minorHAnsi" w:cstheme="minorHAnsi"/>
                <w:iCs/>
                <w:color w:val="auto"/>
                <w:szCs w:val="20"/>
                <w:vertAlign w:val="baseline"/>
                <w:lang w:val="en-US" w:eastAsia="zh-CN"/>
              </w:rPr>
            </w:pPr>
            <w:r>
              <w:rPr>
                <w:rFonts w:hint="eastAsia" w:asciiTheme="minorHAnsi" w:hAnsiTheme="minorHAnsi" w:cstheme="minorHAnsi"/>
                <w:iCs/>
                <w:color w:val="auto"/>
                <w:szCs w:val="20"/>
                <w:vertAlign w:val="baseline"/>
                <w:lang w:val="en-US" w:eastAsia="zh-CN"/>
              </w:rPr>
              <w:t>CP @15kHz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837" w:type="dxa"/>
          </w:tcPr>
          <w:p>
            <w:pPr>
              <w:spacing w:after="120"/>
              <w:jc w:val="both"/>
              <w:rPr>
                <w:rFonts w:hint="default" w:eastAsia="宋体" w:asciiTheme="minorHAnsi" w:hAnsiTheme="minorHAnsi" w:cstheme="minorHAnsi"/>
                <w:iCs/>
                <w:color w:val="auto"/>
                <w:szCs w:val="20"/>
                <w:vertAlign w:val="baseline"/>
                <w:lang w:val="en-US" w:eastAsia="zh-CN"/>
              </w:rPr>
            </w:pPr>
            <w:r>
              <w:rPr>
                <w:rFonts w:hint="eastAsia" w:eastAsia="宋体" w:asciiTheme="minorHAnsi" w:hAnsiTheme="minorHAnsi" w:cstheme="minorHAnsi"/>
                <w:iCs/>
                <w:color w:val="auto"/>
                <w:szCs w:val="20"/>
                <w:vertAlign w:val="baseline"/>
                <w:lang w:val="en-US" w:eastAsia="zh-CN"/>
              </w:rPr>
              <w:t>Inter-band CA</w:t>
            </w:r>
          </w:p>
        </w:tc>
        <w:tc>
          <w:tcPr>
            <w:tcW w:w="1632" w:type="dxa"/>
          </w:tcPr>
          <w:p>
            <w:pPr>
              <w:spacing w:after="120"/>
              <w:jc w:val="both"/>
              <w:rPr>
                <w:rFonts w:hint="default" w:eastAsia="宋体" w:asciiTheme="minorHAnsi" w:hAnsiTheme="minorHAnsi" w:cstheme="minorHAnsi"/>
                <w:iCs/>
                <w:color w:val="auto"/>
                <w:szCs w:val="20"/>
                <w:vertAlign w:val="baseline"/>
                <w:lang w:val="en-US" w:eastAsia="zh-CN"/>
              </w:rPr>
            </w:pPr>
            <w:r>
              <w:rPr>
                <w:rFonts w:hint="eastAsia" w:eastAsia="宋体" w:asciiTheme="minorHAnsi" w:hAnsiTheme="minorHAnsi" w:cstheme="minorHAnsi"/>
                <w:iCs/>
                <w:color w:val="auto"/>
                <w:szCs w:val="20"/>
                <w:vertAlign w:val="baseline"/>
                <w:lang w:val="en-US" w:eastAsia="zh-CN"/>
              </w:rPr>
              <w:t>3 µs</w:t>
            </w:r>
          </w:p>
        </w:tc>
        <w:tc>
          <w:tcPr>
            <w:tcW w:w="1632" w:type="dxa"/>
          </w:tcPr>
          <w:p>
            <w:pPr>
              <w:spacing w:after="120"/>
              <w:jc w:val="both"/>
              <w:rPr>
                <w:rFonts w:hint="eastAsia" w:eastAsia="宋体" w:asciiTheme="minorHAnsi" w:hAnsiTheme="minorHAnsi" w:cstheme="minorHAnsi"/>
                <w:iCs/>
                <w:color w:val="auto"/>
                <w:szCs w:val="20"/>
                <w:vertAlign w:val="baseline"/>
                <w:lang w:val="en-US" w:eastAsia="zh-CN"/>
              </w:rPr>
            </w:pPr>
            <w:r>
              <w:rPr>
                <w:rFonts w:hint="eastAsia" w:eastAsia="宋体" w:asciiTheme="minorHAnsi" w:hAnsiTheme="minorHAnsi" w:cstheme="minorHAnsi"/>
                <w:iCs/>
                <w:color w:val="auto"/>
                <w:szCs w:val="20"/>
                <w:vertAlign w:val="baseline"/>
                <w:lang w:val="en-US" w:eastAsia="zh-CN"/>
              </w:rPr>
              <w:t>4.7µs</w:t>
            </w:r>
          </w:p>
        </w:tc>
      </w:tr>
    </w:tbl>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cs="Arial"/>
          <w:lang w:val="en-US" w:eastAsia="zh-CN"/>
        </w:rPr>
      </w:pPr>
      <w:r>
        <w:rPr>
          <w:rFonts w:hint="eastAsia"/>
          <w:lang w:val="en-US" w:eastAsia="zh-CN"/>
        </w:rPr>
        <w:t xml:space="preserve">We are fine to any option since the CP @ 15kHz is already sufficient to accomodate BS TAE. The </w:t>
      </w:r>
      <w:r>
        <w:rPr>
          <w:rFonts w:hint="eastAsia" w:cs="Arial"/>
          <w:lang w:val="en-US" w:eastAsia="zh-CN"/>
        </w:rPr>
        <w:t>synchronization error could be determined by the RTD between the two bands. As a result, the interruption led by Rx switching could be defined as 1 symbol for the case of 35 us switching period and 3 symbols for the case of 140 us switching period.</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lang w:val="en-US" w:eastAsia="zh-CN"/>
        </w:rPr>
      </w:pPr>
      <w:r>
        <w:rPr>
          <w:rFonts w:hint="eastAsia"/>
          <w:b/>
          <w:bCs/>
          <w:lang w:val="en-US" w:eastAsia="zh-CN"/>
        </w:rPr>
        <w:t>Proposal 5: The interruption led by Rx switching is determined by the switching period and RTD. It could be defined as 1 symbol for the case of 35 us switching period and 3 symbols for the case of 140 us switching period.</w:t>
      </w:r>
    </w:p>
    <w:p>
      <w:pPr>
        <w:pStyle w:val="3"/>
        <w:bidi w:val="0"/>
        <w:rPr>
          <w:rFonts w:hint="eastAsia"/>
          <w:lang w:val="en-US" w:eastAsia="zh-CN"/>
        </w:rPr>
      </w:pPr>
      <w:r>
        <w:rPr>
          <w:rFonts w:hint="eastAsia"/>
          <w:lang w:val="en-US" w:eastAsia="zh-CN"/>
        </w:rPr>
        <w:t>2.3 SDL SCell related requirements</w:t>
      </w:r>
    </w:p>
    <w:p>
      <w:pPr>
        <w:rPr>
          <w:rFonts w:hint="eastAsia"/>
          <w:lang w:val="en-US" w:eastAsia="zh-CN"/>
        </w:rPr>
      </w:pPr>
    </w:p>
    <w:p>
      <w:pPr>
        <w:rPr>
          <w:rFonts w:hint="eastAsia" w:cs="Arial"/>
          <w:lang w:val="en-US" w:eastAsia="zh-CN"/>
        </w:rPr>
      </w:pPr>
      <w:r>
        <w:rPr>
          <w:rFonts w:hint="eastAsia" w:cs="Arial"/>
          <w:lang w:val="en-US" w:eastAsia="zh-CN"/>
        </w:rPr>
        <w:t>Around the SDL SCell related requirements, we believe the following issues should be identified:</w:t>
      </w:r>
    </w:p>
    <w:p>
      <w:pPr>
        <w:numPr>
          <w:ilvl w:val="0"/>
          <w:numId w:val="8"/>
        </w:numPr>
        <w:ind w:left="420" w:leftChars="0" w:hanging="420" w:firstLineChars="0"/>
        <w:rPr>
          <w:rFonts w:hint="default" w:cs="Arial"/>
          <w:lang w:val="en-US" w:eastAsia="zh-CN"/>
        </w:rPr>
      </w:pPr>
      <w:r>
        <w:rPr>
          <w:rFonts w:hint="eastAsia" w:cs="Arial"/>
          <w:lang w:val="en-US" w:eastAsia="zh-CN"/>
        </w:rPr>
        <w:t>Activated SDL SCC measurement</w:t>
      </w:r>
    </w:p>
    <w:p>
      <w:pPr>
        <w:numPr>
          <w:ilvl w:val="0"/>
          <w:numId w:val="8"/>
        </w:numPr>
        <w:ind w:left="420" w:leftChars="0" w:hanging="420" w:firstLineChars="0"/>
        <w:rPr>
          <w:rFonts w:hint="default" w:cs="Arial"/>
          <w:lang w:val="en-US" w:eastAsia="zh-CN"/>
        </w:rPr>
      </w:pPr>
      <w:r>
        <w:rPr>
          <w:rFonts w:hint="eastAsia" w:cs="Arial"/>
          <w:lang w:val="en-US" w:eastAsia="zh-CN"/>
        </w:rPr>
        <w:t>De-acitvated SDL SCC measurement</w:t>
      </w:r>
    </w:p>
    <w:p>
      <w:pPr>
        <w:numPr>
          <w:ilvl w:val="0"/>
          <w:numId w:val="8"/>
        </w:numPr>
        <w:ind w:left="420" w:leftChars="0" w:hanging="420" w:firstLineChars="0"/>
        <w:rPr>
          <w:rFonts w:hint="default" w:cs="Arial"/>
          <w:lang w:val="en-US" w:eastAsia="zh-CN"/>
        </w:rPr>
      </w:pPr>
      <w:r>
        <w:rPr>
          <w:rFonts w:hint="eastAsia" w:cs="Arial"/>
          <w:lang w:val="en-US" w:eastAsia="zh-CN"/>
        </w:rPr>
        <w:t>SDL SCell activation/deactivation</w:t>
      </w:r>
    </w:p>
    <w:p>
      <w:pPr>
        <w:numPr>
          <w:ilvl w:val="0"/>
          <w:numId w:val="0"/>
        </w:numPr>
        <w:ind w:leftChars="0"/>
        <w:rPr>
          <w:rFonts w:hint="eastAsia" w:cs="Arial"/>
          <w:u w:val="single"/>
          <w:lang w:val="en-US" w:eastAsia="zh-CN"/>
        </w:rPr>
      </w:pPr>
      <w:r>
        <w:rPr>
          <w:rFonts w:hint="eastAsia" w:cs="Arial"/>
          <w:u w:val="single"/>
          <w:lang w:val="en-US" w:eastAsia="zh-CN"/>
        </w:rPr>
        <w:t>Activated SDL SCC measurement</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lang w:val="en-US" w:eastAsia="zh-CN"/>
        </w:rPr>
      </w:pPr>
      <w:r>
        <w:rPr>
          <w:rFonts w:hint="eastAsia"/>
          <w:lang w:val="en-US" w:eastAsia="zh-CN"/>
        </w:rPr>
        <w:t>Regarding the activated SDL SCC measurement, both SCell measurement and intra-frequency neighbour cell measurement are to be considered. We analysize them respectively.</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lang w:val="en-US" w:eastAsia="zh-CN"/>
        </w:rPr>
      </w:pPr>
      <w:r>
        <w:rPr>
          <w:rFonts w:hint="eastAsia"/>
          <w:lang w:val="en-US" w:eastAsia="zh-CN"/>
        </w:rPr>
        <w:t xml:space="preserve">For the SCell measurement, since co-located deployment, to simplify the L3 measurement for SDL SCell, maybe the SSB-less SCell operation provides a good reference, i.e. just reuse the L3 measurement results measured at PCell, no longer to perform L3 measurement at SDL SCell. Follow this idea, it was approved in last meeting that no to define SDL activated SCell L3 measurement requirements if SSB-less based SCell operation is used as below. But for the case of SSB based SCell operation, it is still FFS.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0"/>
              <w:keepNext w:val="0"/>
              <w:keepLines w:val="0"/>
              <w:pageBreakBefore w:val="0"/>
              <w:widowControl w:val="0"/>
              <w:numPr>
                <w:ilvl w:val="0"/>
                <w:numId w:val="0"/>
              </w:numPr>
              <w:kinsoku/>
              <w:wordWrap/>
              <w:overflowPunct/>
              <w:topLinePunct w:val="0"/>
              <w:autoSpaceDE/>
              <w:bidi w:val="0"/>
              <w:adjustRightInd/>
              <w:textAlignment w:val="auto"/>
              <w:rPr>
                <w:rFonts w:eastAsia="宋体"/>
                <w:b/>
                <w:bCs/>
                <w:color w:val="auto"/>
              </w:rPr>
            </w:pPr>
            <w:r>
              <w:rPr>
                <w:rFonts w:hint="eastAsia"/>
                <w:b/>
                <w:bCs/>
                <w:color w:val="auto"/>
                <w:lang w:val="en-US" w:eastAsia="zh-CN"/>
              </w:rPr>
              <w:t>A</w:t>
            </w:r>
            <w:r>
              <w:rPr>
                <w:rFonts w:eastAsia="宋体"/>
                <w:b/>
                <w:bCs/>
                <w:color w:val="auto"/>
              </w:rPr>
              <w:t>ctivated SDL SCell measurement</w:t>
            </w:r>
          </w:p>
          <w:p>
            <w:pPr>
              <w:keepNext w:val="0"/>
              <w:keepLines w:val="0"/>
              <w:pageBreakBefore w:val="0"/>
              <w:widowControl w:val="0"/>
              <w:kinsoku/>
              <w:wordWrap/>
              <w:overflowPunct/>
              <w:topLinePunct w:val="0"/>
              <w:autoSpaceDE/>
              <w:bidi w:val="0"/>
              <w:adjustRightInd/>
              <w:textAlignment w:val="auto"/>
              <w:rPr>
                <w:rFonts w:eastAsia="宋体"/>
                <w:color w:val="auto"/>
                <w:highlight w:val="green"/>
              </w:rPr>
            </w:pPr>
            <w:r>
              <w:rPr>
                <w:rFonts w:eastAsia="宋体"/>
                <w:color w:val="auto"/>
                <w:highlight w:val="green"/>
              </w:rPr>
              <w:t>Agreement:</w:t>
            </w:r>
          </w:p>
          <w:p>
            <w:pPr>
              <w:keepNext w:val="0"/>
              <w:keepLines w:val="0"/>
              <w:pageBreakBefore w:val="0"/>
              <w:widowControl w:val="0"/>
              <w:numPr>
                <w:ilvl w:val="0"/>
                <w:numId w:val="6"/>
              </w:numPr>
              <w:kinsoku/>
              <w:wordWrap/>
              <w:overflowPunct/>
              <w:topLinePunct w:val="0"/>
              <w:autoSpaceDE/>
              <w:bidi w:val="0"/>
              <w:adjustRightInd/>
              <w:ind w:left="516" w:leftChars="0" w:hanging="360" w:firstLineChars="0"/>
              <w:textAlignment w:val="auto"/>
              <w:rPr>
                <w:rFonts w:hint="default" w:cs="Arial"/>
                <w:vertAlign w:val="baseline"/>
                <w:lang w:val="en-US" w:eastAsia="zh-CN"/>
              </w:rPr>
            </w:pPr>
            <w:r>
              <w:rPr>
                <w:rFonts w:eastAsia="宋体"/>
                <w:color w:val="auto"/>
              </w:rPr>
              <w:t>For R19 LB CA via switching, RAN4 to not define SDL activated SCell L3 measurement requirement if SSB-less based SCell operation is used.</w:t>
            </w:r>
          </w:p>
          <w:p>
            <w:pPr>
              <w:keepNext w:val="0"/>
              <w:keepLines w:val="0"/>
              <w:pageBreakBefore w:val="0"/>
              <w:widowControl w:val="0"/>
              <w:numPr>
                <w:ilvl w:val="0"/>
                <w:numId w:val="6"/>
              </w:numPr>
              <w:kinsoku/>
              <w:wordWrap/>
              <w:overflowPunct/>
              <w:topLinePunct w:val="0"/>
              <w:autoSpaceDE/>
              <w:bidi w:val="0"/>
              <w:adjustRightInd/>
              <w:ind w:left="516" w:leftChars="0" w:hanging="360" w:firstLineChars="0"/>
              <w:textAlignment w:val="auto"/>
              <w:rPr>
                <w:rFonts w:eastAsia="宋体"/>
                <w:color w:val="auto"/>
              </w:rPr>
            </w:pPr>
            <w:r>
              <w:rPr>
                <w:rFonts w:eastAsia="宋体"/>
                <w:color w:val="auto"/>
              </w:rPr>
              <w:t xml:space="preserve">For R19 LB CA via switching, FFS: </w:t>
            </w:r>
          </w:p>
          <w:p>
            <w:pPr>
              <w:keepNext w:val="0"/>
              <w:keepLines w:val="0"/>
              <w:pageBreakBefore w:val="0"/>
              <w:widowControl w:val="0"/>
              <w:numPr>
                <w:ilvl w:val="1"/>
                <w:numId w:val="6"/>
              </w:numPr>
              <w:kinsoku/>
              <w:wordWrap/>
              <w:overflowPunct/>
              <w:topLinePunct w:val="0"/>
              <w:autoSpaceDE/>
              <w:bidi w:val="0"/>
              <w:adjustRightInd/>
              <w:ind w:left="1236" w:leftChars="0" w:hanging="360" w:firstLineChars="0"/>
              <w:textAlignment w:val="auto"/>
              <w:rPr>
                <w:rFonts w:hint="default" w:cs="Arial"/>
                <w:vertAlign w:val="baseline"/>
                <w:lang w:val="en-US" w:eastAsia="zh-CN"/>
              </w:rPr>
            </w:pPr>
            <w:r>
              <w:rPr>
                <w:rFonts w:eastAsia="宋体"/>
                <w:color w:val="auto"/>
              </w:rPr>
              <w:t>Whether and how RAN4 to define SDL activated SCell L3 measurement requirement if SSB based SCell operation is used.</w:t>
            </w:r>
          </w:p>
        </w:tc>
      </w:tr>
    </w:tbl>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lang w:val="en-US" w:eastAsia="zh-CN"/>
        </w:rPr>
      </w:pPr>
      <w:r>
        <w:rPr>
          <w:rFonts w:hint="eastAsia"/>
          <w:lang w:val="en-US" w:eastAsia="zh-CN"/>
        </w:rPr>
        <w:t xml:space="preserve">To our understanding, both SSB-less operation and SSB based operation should be both identified since which operation to apply, it depends on the UE capability and NW deployment. Actually directly following the SSB-less operation is an easy and straightforward solution since which has been spcified in R18 for co-located inter-band FR1 CA scenario. But how to achieve common understanding between NW and UE regarding whether the SSB-less SCell operation is triggered or not, here the situation is different from R18 SSB-less SCell. In R18 SSB-less SCell, no specifc signalling to configure or indicate which SCell is SSB-less SCell, UE decides the SSB-less SCell according to the implicit principle </w:t>
      </w:r>
      <w:r>
        <w:rPr>
          <w:rFonts w:hint="default"/>
          <w:lang w:val="en-US" w:eastAsia="zh-CN"/>
        </w:rPr>
        <w:t>“</w:t>
      </w:r>
      <w:r>
        <w:rPr>
          <w:rFonts w:hint="eastAsia"/>
          <w:lang w:val="en-US" w:eastAsia="zh-CN"/>
        </w:rPr>
        <w:t>if the UE is not provided with SSB configuration (absoluteFrequencySSB) or SMTC configuration for the target SCell</w:t>
      </w:r>
      <w:r>
        <w:rPr>
          <w:rFonts w:hint="default"/>
          <w:lang w:val="en-US" w:eastAsia="zh-CN"/>
        </w:rPr>
        <w:t>”</w:t>
      </w:r>
      <w:r>
        <w:rPr>
          <w:rFonts w:hint="eastAsia"/>
          <w:lang w:val="en-US" w:eastAsia="zh-CN"/>
        </w:rPr>
        <w:t>. While, here for the SDL SCell, it is possible that UE still performs normal L1 and/or L3 measurement during the period of SDL SCell ON. If NW sends SSB in this period, UE could perform SSB-based L3 measurement. So directly reusing the implict principle of R18 SSB-less SCell operation triggering does work here. Some explict indication or configuration of whether to apply SSB-less SCell operation at least during the SDL SCell OFF period is needed.</w:t>
      </w:r>
    </w:p>
    <w:p>
      <w:pPr>
        <w:pStyle w:val="10"/>
        <w:bidi w:val="0"/>
        <w:rPr>
          <w:rFonts w:hint="default"/>
          <w:b/>
          <w:bCs/>
          <w:lang w:val="en-US" w:eastAsia="zh-CN"/>
        </w:rPr>
      </w:pPr>
      <w:r>
        <w:rPr>
          <w:rFonts w:hint="eastAsia"/>
          <w:b/>
          <w:bCs/>
          <w:lang w:val="en-US" w:eastAsia="zh-CN"/>
        </w:rPr>
        <w:t xml:space="preserve">Observation 1: No explict indication or configuration to inform UE which SCell is SSB-less SCell in R18. Instead, UE decides the SSB-less SCell based on the implict principle </w:t>
      </w:r>
      <w:r>
        <w:rPr>
          <w:rFonts w:hint="default"/>
          <w:b/>
          <w:bCs/>
          <w:lang w:val="en-US" w:eastAsia="zh-CN"/>
        </w:rPr>
        <w:t>“if the UE is not provided with SSB configuration (absoluteFrequencySSB) or SMTC configuration for the target SCell”</w:t>
      </w:r>
      <w:r>
        <w:rPr>
          <w:rFonts w:hint="eastAsia"/>
          <w:b/>
          <w:bCs/>
          <w:lang w:val="en-US" w:eastAsia="zh-CN"/>
        </w:rPr>
        <w:t>.</w:t>
      </w:r>
    </w:p>
    <w:p>
      <w:pPr>
        <w:pStyle w:val="10"/>
        <w:bidi w:val="0"/>
        <w:rPr>
          <w:rFonts w:hint="eastAsia"/>
          <w:b/>
          <w:bCs/>
          <w:lang w:val="en-US" w:eastAsia="zh-CN"/>
        </w:rPr>
      </w:pPr>
      <w:r>
        <w:rPr>
          <w:rFonts w:hint="eastAsia"/>
          <w:b/>
          <w:bCs/>
          <w:lang w:val="en-US" w:eastAsia="zh-CN"/>
        </w:rPr>
        <w:t xml:space="preserve">Proposal 6: The implict principle of how to recognize SSB-less SCell in R18 does not fit the SDL SCell since NW may or may not configure SSB at the SDL SCell to account for the period of SDL SCell ON duration. </w:t>
      </w:r>
    </w:p>
    <w:p>
      <w:pPr>
        <w:pStyle w:val="10"/>
        <w:bidi w:val="0"/>
        <w:rPr>
          <w:rFonts w:hint="default"/>
          <w:lang w:val="en-US" w:eastAsia="zh-CN"/>
        </w:rPr>
      </w:pPr>
      <w:r>
        <w:rPr>
          <w:rFonts w:hint="eastAsia"/>
          <w:b/>
          <w:bCs/>
          <w:lang w:val="en-US" w:eastAsia="zh-CN"/>
        </w:rPr>
        <w:t>Proposal 7: Some explict indication or configuration to enable the SSB-less SCell operation on the SDL SCell at least targeted at the period of SDL SCell ON duration is needed.</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lang w:val="en-US" w:eastAsia="zh-CN"/>
        </w:rPr>
      </w:pPr>
      <w:r>
        <w:rPr>
          <w:rFonts w:hint="eastAsia"/>
          <w:lang w:val="en-US" w:eastAsia="zh-CN"/>
        </w:rPr>
        <w:t xml:space="preserve">Alternatively, another solution is to perform SSB based measurement on SDL SCell even during the SDL SCell OFF period. It should be noted that no new definition on intra-f/inter-f measurement with/without gap would be introduced based on the following agreements.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bidi w:val="0"/>
              <w:adjustRightInd/>
              <w:textAlignment w:val="auto"/>
              <w:rPr>
                <w:rFonts w:eastAsia="宋体"/>
                <w:color w:val="auto"/>
              </w:rPr>
            </w:pPr>
            <w:r>
              <w:rPr>
                <w:rFonts w:eastAsia="宋体"/>
                <w:color w:val="auto"/>
                <w:highlight w:val="green"/>
              </w:rPr>
              <w:t>Agreement:</w:t>
            </w:r>
          </w:p>
          <w:p>
            <w:pPr>
              <w:keepNext w:val="0"/>
              <w:keepLines w:val="0"/>
              <w:pageBreakBefore w:val="0"/>
              <w:widowControl w:val="0"/>
              <w:numPr>
                <w:ilvl w:val="0"/>
                <w:numId w:val="6"/>
              </w:numPr>
              <w:kinsoku/>
              <w:wordWrap/>
              <w:overflowPunct/>
              <w:topLinePunct w:val="0"/>
              <w:autoSpaceDE/>
              <w:bidi w:val="0"/>
              <w:adjustRightInd/>
              <w:ind w:left="516" w:leftChars="0" w:hanging="360" w:firstLineChars="0"/>
              <w:textAlignment w:val="auto"/>
              <w:rPr>
                <w:rFonts w:eastAsia="宋体"/>
                <w:color w:val="auto"/>
              </w:rPr>
            </w:pPr>
            <w:r>
              <w:rPr>
                <w:rFonts w:eastAsia="宋体"/>
                <w:color w:val="auto"/>
              </w:rPr>
              <w:t xml:space="preserve">Not to change </w:t>
            </w:r>
            <w:r>
              <w:rPr>
                <w:rFonts w:hint="eastAsia" w:eastAsia="宋体"/>
                <w:color w:val="auto"/>
              </w:rPr>
              <w:t>definition of intra-frequency/inter-frequency measurement with/without gap measurement</w:t>
            </w:r>
          </w:p>
          <w:p>
            <w:pPr>
              <w:keepNext w:val="0"/>
              <w:keepLines w:val="0"/>
              <w:pageBreakBefore w:val="0"/>
              <w:widowControl w:val="0"/>
              <w:numPr>
                <w:ilvl w:val="0"/>
                <w:numId w:val="6"/>
              </w:numPr>
              <w:kinsoku/>
              <w:wordWrap/>
              <w:overflowPunct/>
              <w:topLinePunct w:val="0"/>
              <w:autoSpaceDE/>
              <w:bidi w:val="0"/>
              <w:adjustRightInd/>
              <w:ind w:left="516" w:leftChars="0" w:hanging="360" w:firstLineChars="0"/>
              <w:textAlignment w:val="auto"/>
              <w:rPr>
                <w:rFonts w:hint="default" w:cs="Arial"/>
                <w:vertAlign w:val="baseline"/>
                <w:lang w:val="en-US" w:eastAsia="zh-CN"/>
              </w:rPr>
            </w:pPr>
            <w:r>
              <w:rPr>
                <w:rFonts w:eastAsia="宋体"/>
                <w:color w:val="auto"/>
              </w:rPr>
              <w:t>FFS on the use case for MG application.</w:t>
            </w:r>
          </w:p>
        </w:tc>
      </w:tr>
    </w:tbl>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lang w:val="en-US" w:eastAsia="zh-CN"/>
        </w:rPr>
      </w:pPr>
      <w:r>
        <w:rPr>
          <w:rFonts w:hint="eastAsia"/>
          <w:lang w:val="en-US" w:eastAsia="zh-CN"/>
        </w:rPr>
        <w:t>So even UE switches its Rx to the PCell, the measurement at the frequency of the SDL SCell is still deemed as intra-frequency measurement. But we are not sure whether UE could perform the SDL SCell without gap even the SSB is fully contained by the active BWP of SDL SCell. To our understanding, if UE has already switched the Rx to the PCell, then the Rx antenna and PLL have already retuned to the PCell, the measurement on the frequency of SDL SCell would lead to interruption and UE has to perform it within gap. So as to reduce the impact of interruption, we are open to discuss some advanced UE implementation or measurement relaxation.</w:t>
      </w:r>
    </w:p>
    <w:p>
      <w:pPr>
        <w:pStyle w:val="10"/>
        <w:bidi w:val="0"/>
        <w:rPr>
          <w:rFonts w:hint="default"/>
          <w:lang w:val="en-US" w:eastAsia="zh-CN"/>
        </w:rPr>
      </w:pPr>
      <w:r>
        <w:rPr>
          <w:rFonts w:hint="eastAsia"/>
          <w:b/>
          <w:bCs/>
          <w:lang w:val="en-US" w:eastAsia="zh-CN"/>
        </w:rPr>
        <w:t>Proposal 8: If SSB based L3 measurement on SDL SCell is expected during the period of PCell ON, to reduce the impact of interruption, some advanced UE implementation or measurement relaxation could be considered.</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lang w:val="en-US" w:eastAsia="zh-CN"/>
        </w:rPr>
      </w:pPr>
      <w:r>
        <w:rPr>
          <w:rFonts w:hint="eastAsia"/>
          <w:lang w:val="en-US" w:eastAsia="zh-CN"/>
        </w:rPr>
        <w:t>For the intra-frequency neighbour cell measurement at the SDL SCell frequency, since the coverage of the neighbour cell and PCell are very likely different, no measurement results derived from the PCell frequency could be shared, so as to identify the channel quality of neighbour cell, UE has to perform intra-frequency measurement. Similar as the analysis for SCell measurement, how to reduce the impact of interruption should be considered. Different form the SCell measurement, the intra-frequency neighbour cell measurement is not as much as urgent, so as to reduce the interruption led by such intra-frequency neighbour cell measurement, UE could only perform such measurement during the period of SDL SCell ON duration.</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lang w:val="en-US" w:eastAsia="zh-CN"/>
        </w:rPr>
      </w:pPr>
      <w:r>
        <w:rPr>
          <w:rFonts w:hint="eastAsia"/>
          <w:b/>
          <w:bCs/>
          <w:lang w:val="en-US" w:eastAsia="zh-CN"/>
        </w:rPr>
        <w:t>Proposal 9: The intra-frequency neighbour cell measurement at the SDL SCell frequency is not as  urgent as the measurement on SDL SCell itself. To reduce the interruption, UE only performs the intra-frequency neighbour cell measurement at the SDL SCell frequency during the period of SDL SCell ON duration.</w:t>
      </w:r>
    </w:p>
    <w:p>
      <w:pPr>
        <w:numPr>
          <w:ilvl w:val="0"/>
          <w:numId w:val="0"/>
        </w:numPr>
        <w:ind w:leftChars="0"/>
        <w:rPr>
          <w:rFonts w:hint="eastAsia" w:cs="Arial"/>
          <w:u w:val="single"/>
          <w:lang w:val="en-US" w:eastAsia="zh-CN"/>
        </w:rPr>
      </w:pPr>
      <w:r>
        <w:rPr>
          <w:rFonts w:hint="eastAsia" w:cs="Arial"/>
          <w:u w:val="single"/>
          <w:lang w:val="en-US" w:eastAsia="zh-CN"/>
        </w:rPr>
        <w:t>De-activated SDL SCC measurement</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lang w:val="en-US" w:eastAsia="zh-CN"/>
        </w:rPr>
      </w:pPr>
      <w:r>
        <w:rPr>
          <w:rFonts w:hint="eastAsia"/>
          <w:lang w:val="en-US" w:eastAsia="zh-CN"/>
        </w:rPr>
        <w:t>The following agreements were achieved in last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0"/>
              <w:keepNext w:val="0"/>
              <w:keepLines w:val="0"/>
              <w:pageBreakBefore w:val="0"/>
              <w:widowControl w:val="0"/>
              <w:numPr>
                <w:ilvl w:val="0"/>
                <w:numId w:val="0"/>
              </w:numPr>
              <w:kinsoku/>
              <w:wordWrap/>
              <w:overflowPunct/>
              <w:topLinePunct w:val="0"/>
              <w:autoSpaceDE/>
              <w:bidi w:val="0"/>
              <w:adjustRightInd/>
              <w:textAlignment w:val="auto"/>
              <w:rPr>
                <w:rFonts w:hint="eastAsia" w:eastAsia="宋体"/>
                <w:b/>
                <w:bCs/>
                <w:color w:val="auto"/>
                <w:lang w:val="en-US" w:eastAsia="zh-CN"/>
              </w:rPr>
            </w:pPr>
            <w:r>
              <w:rPr>
                <w:rFonts w:hint="eastAsia"/>
                <w:b/>
                <w:bCs/>
                <w:color w:val="auto"/>
                <w:lang w:val="en-US" w:eastAsia="zh-CN"/>
              </w:rPr>
              <w:t>D</w:t>
            </w:r>
            <w:r>
              <w:rPr>
                <w:rFonts w:eastAsia="宋体"/>
                <w:b/>
                <w:bCs/>
                <w:color w:val="auto"/>
              </w:rPr>
              <w:t>e-activated SDL SCell measurement</w:t>
            </w:r>
            <w:r>
              <w:rPr>
                <w:rFonts w:hint="eastAsia"/>
                <w:b/>
                <w:bCs/>
                <w:color w:val="auto"/>
                <w:lang w:val="en-US" w:eastAsia="zh-CN"/>
              </w:rPr>
              <w:t>:</w:t>
            </w:r>
          </w:p>
          <w:p>
            <w:pPr>
              <w:keepNext w:val="0"/>
              <w:keepLines w:val="0"/>
              <w:pageBreakBefore w:val="0"/>
              <w:widowControl w:val="0"/>
              <w:kinsoku/>
              <w:wordWrap/>
              <w:overflowPunct/>
              <w:topLinePunct w:val="0"/>
              <w:autoSpaceDE/>
              <w:bidi w:val="0"/>
              <w:adjustRightInd/>
              <w:textAlignment w:val="auto"/>
              <w:rPr>
                <w:rFonts w:eastAsia="宋体"/>
                <w:color w:val="auto"/>
                <w:highlight w:val="green"/>
              </w:rPr>
            </w:pPr>
            <w:r>
              <w:rPr>
                <w:rFonts w:eastAsia="宋体"/>
                <w:color w:val="auto"/>
                <w:highlight w:val="green"/>
              </w:rPr>
              <w:t>Agreement:</w:t>
            </w:r>
          </w:p>
          <w:p>
            <w:pPr>
              <w:keepNext w:val="0"/>
              <w:keepLines w:val="0"/>
              <w:pageBreakBefore w:val="0"/>
              <w:widowControl w:val="0"/>
              <w:numPr>
                <w:ilvl w:val="0"/>
                <w:numId w:val="6"/>
              </w:numPr>
              <w:kinsoku/>
              <w:wordWrap/>
              <w:overflowPunct/>
              <w:topLinePunct w:val="0"/>
              <w:autoSpaceDE/>
              <w:bidi w:val="0"/>
              <w:adjustRightInd/>
              <w:ind w:left="516" w:leftChars="0" w:hanging="360" w:firstLineChars="0"/>
              <w:textAlignment w:val="auto"/>
              <w:rPr>
                <w:rFonts w:eastAsia="宋体"/>
                <w:color w:val="auto"/>
              </w:rPr>
            </w:pPr>
            <w:r>
              <w:rPr>
                <w:rFonts w:eastAsia="宋体"/>
                <w:color w:val="auto"/>
              </w:rPr>
              <w:t>For R19 LB CA via switching, RAN4 to not define SDL deactivated SCell L3 measurement requirement if SSB-less based SCell operation is used.</w:t>
            </w:r>
          </w:p>
          <w:p>
            <w:pPr>
              <w:keepNext w:val="0"/>
              <w:keepLines w:val="0"/>
              <w:pageBreakBefore w:val="0"/>
              <w:widowControl w:val="0"/>
              <w:numPr>
                <w:ilvl w:val="0"/>
                <w:numId w:val="6"/>
              </w:numPr>
              <w:kinsoku/>
              <w:wordWrap/>
              <w:overflowPunct/>
              <w:topLinePunct w:val="0"/>
              <w:autoSpaceDE/>
              <w:bidi w:val="0"/>
              <w:adjustRightInd/>
              <w:ind w:left="516" w:leftChars="0" w:hanging="360" w:firstLineChars="0"/>
              <w:textAlignment w:val="auto"/>
              <w:rPr>
                <w:rFonts w:eastAsia="宋体"/>
                <w:color w:val="auto"/>
              </w:rPr>
            </w:pPr>
            <w:r>
              <w:rPr>
                <w:rFonts w:eastAsia="宋体"/>
                <w:color w:val="auto"/>
              </w:rPr>
              <w:t xml:space="preserve">For R19 LB CA via switching, FFS: </w:t>
            </w:r>
          </w:p>
          <w:p>
            <w:pPr>
              <w:pStyle w:val="30"/>
              <w:keepNext w:val="0"/>
              <w:keepLines w:val="0"/>
              <w:pageBreakBefore w:val="0"/>
              <w:widowControl w:val="0"/>
              <w:numPr>
                <w:ilvl w:val="3"/>
                <w:numId w:val="9"/>
              </w:numPr>
              <w:kinsoku/>
              <w:wordWrap/>
              <w:overflowPunct/>
              <w:topLinePunct w:val="0"/>
              <w:autoSpaceDE/>
              <w:bidi w:val="0"/>
              <w:adjustRightInd/>
              <w:ind w:left="1504" w:firstLineChars="0"/>
              <w:textAlignment w:val="auto"/>
              <w:rPr>
                <w:rFonts w:hint="default"/>
                <w:vertAlign w:val="baseline"/>
                <w:lang w:val="en-US" w:eastAsia="zh-CN"/>
              </w:rPr>
            </w:pPr>
            <w:r>
              <w:rPr>
                <w:rFonts w:eastAsia="宋体"/>
                <w:color w:val="auto"/>
              </w:rPr>
              <w:t>Whether and how RAN4 to define SDL deactivated SCell L3 measurement requirement if SSB based SCell operation is used.</w:t>
            </w:r>
          </w:p>
        </w:tc>
      </w:tr>
    </w:tbl>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lang w:val="en-US" w:eastAsia="zh-CN"/>
        </w:rPr>
      </w:pPr>
      <w:r>
        <w:rPr>
          <w:rFonts w:hint="eastAsia"/>
          <w:lang w:val="en-US" w:eastAsia="zh-CN"/>
        </w:rPr>
        <w:t>Similar as the analysis on activated SDL SCC measurement, the measurement at the deactivated SDL SCell is more urgent than the measurement at the intra-frequency neighbour cells. So for the measurement at the deactivated SDL SCell, larger measurement periodicity to reduce the interruption or some advanced UE implmentation is expected. For the neighbour cell measurement, UE could only perform such measurement during the period of SDL SCell ON duration. So the above Proposal 4 and 5 are preferred by us for both activated and deactivated SDL SCC measurement.</w:t>
      </w:r>
    </w:p>
    <w:p>
      <w:pPr>
        <w:numPr>
          <w:ilvl w:val="0"/>
          <w:numId w:val="0"/>
        </w:numPr>
        <w:ind w:leftChars="0"/>
        <w:rPr>
          <w:rFonts w:hint="default" w:cs="Arial"/>
          <w:u w:val="single"/>
          <w:lang w:val="en-US" w:eastAsia="zh-CN"/>
        </w:rPr>
      </w:pPr>
      <w:r>
        <w:rPr>
          <w:rFonts w:hint="eastAsia" w:cs="Arial"/>
          <w:u w:val="single"/>
          <w:lang w:val="en-US" w:eastAsia="zh-CN"/>
        </w:rPr>
        <w:t>SDL SCell activation/deactivation</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lang w:val="en-US" w:eastAsia="zh-CN"/>
        </w:rPr>
      </w:pPr>
      <w:r>
        <w:rPr>
          <w:rFonts w:hint="eastAsia"/>
          <w:lang w:val="en-US" w:eastAsia="zh-CN"/>
        </w:rPr>
        <w:t>In legacy, when to trigger the SCell activation/deactivation, it is up to NW decision totally. NW could make decision based on the L3 reporting on the relevant frequency and/or the demand of traffic load balance. If we look at the UE operation during the SCell activation for inter-band FR1 CA, at least the UE has to perform one sample RS measurement to achieve fine time tracking, and at most the UE has to perform 4 samples RS measurement to finish AGC, cell search and fine time tracking, either SSB based or TRS based. If UE could not finish the whole SCell activation procedure during one shot of SDL SCell ON duration, there are two solutions:</w:t>
      </w:r>
    </w:p>
    <w:p>
      <w:pPr>
        <w:pStyle w:val="10"/>
        <w:keepNext w:val="0"/>
        <w:keepLines w:val="0"/>
        <w:pageBreakBefore w:val="0"/>
        <w:widowControl/>
        <w:numPr>
          <w:ilvl w:val="0"/>
          <w:numId w:val="10"/>
        </w:numPr>
        <w:kinsoku/>
        <w:wordWrap/>
        <w:overflowPunct/>
        <w:topLinePunct w:val="0"/>
        <w:autoSpaceDE/>
        <w:autoSpaceDN/>
        <w:bidi w:val="0"/>
        <w:adjustRightInd/>
        <w:snapToGrid/>
        <w:spacing w:before="157" w:beforeLines="50"/>
        <w:ind w:left="420" w:leftChars="0" w:hanging="420" w:firstLineChars="0"/>
        <w:textAlignment w:val="auto"/>
        <w:rPr>
          <w:rFonts w:hint="default"/>
          <w:lang w:val="en-US" w:eastAsia="zh-CN"/>
        </w:rPr>
      </w:pPr>
      <w:r>
        <w:rPr>
          <w:rFonts w:hint="eastAsia"/>
          <w:lang w:val="en-US" w:eastAsia="zh-CN"/>
        </w:rPr>
        <w:t>Solution 1: UE performs the SCell activation procedure only within the SDL SCell ON duration across multiple switching periodicities.</w:t>
      </w:r>
    </w:p>
    <w:p>
      <w:pPr>
        <w:pStyle w:val="10"/>
        <w:keepNext w:val="0"/>
        <w:keepLines w:val="0"/>
        <w:pageBreakBefore w:val="0"/>
        <w:widowControl/>
        <w:numPr>
          <w:ilvl w:val="0"/>
          <w:numId w:val="10"/>
        </w:numPr>
        <w:kinsoku/>
        <w:wordWrap/>
        <w:overflowPunct/>
        <w:topLinePunct w:val="0"/>
        <w:autoSpaceDE/>
        <w:autoSpaceDN/>
        <w:bidi w:val="0"/>
        <w:adjustRightInd/>
        <w:snapToGrid/>
        <w:spacing w:before="157" w:beforeLines="50"/>
        <w:ind w:left="420" w:leftChars="0" w:hanging="420" w:firstLineChars="0"/>
        <w:textAlignment w:val="auto"/>
        <w:rPr>
          <w:rFonts w:hint="default"/>
          <w:lang w:val="en-US" w:eastAsia="zh-CN"/>
        </w:rPr>
      </w:pPr>
      <w:r>
        <w:rPr>
          <w:rFonts w:hint="eastAsia"/>
          <w:lang w:val="en-US" w:eastAsia="zh-CN"/>
        </w:rPr>
        <w:t>Solution 2: UE performs the SCell activation procedure consistently across the PCell ON and SDL SCell ON durations.</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lang w:val="en-US" w:eastAsia="zh-CN"/>
        </w:rPr>
      </w:pPr>
      <w:r>
        <w:rPr>
          <w:rFonts w:hint="eastAsia"/>
          <w:lang w:val="en-US" w:eastAsia="zh-CN"/>
        </w:rPr>
        <w:t>The two solutions each have their own pros and cons. Solution 1 would not lead to additional interruption besides the legacy interruption defined for SCell activation, but it prolongs the whole procedure of SCell activation. Solution 2 achieves shorter delay compared with Solution 1, but it leads to additional interruption when UE performs the measurement on the SCell within the SCell activation procedure, which also lead to additional gap consumption.</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lang w:val="en-US" w:eastAsia="zh-CN"/>
        </w:rPr>
      </w:pPr>
      <w:r>
        <w:rPr>
          <w:rFonts w:hint="eastAsia"/>
          <w:lang w:val="en-US" w:eastAsia="zh-CN"/>
        </w:rPr>
        <w:t>The decision between Solution 1 and 2 is related to the exact periodicity configuration of the switching pattern, which is trade-off between the SCell activation delay and interruption impact.</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lang w:val="en-US" w:eastAsia="zh-CN"/>
        </w:rPr>
      </w:pPr>
      <w:r>
        <w:rPr>
          <w:rFonts w:hint="eastAsia"/>
          <w:b/>
          <w:bCs/>
          <w:lang w:val="en-US" w:eastAsia="zh-CN"/>
        </w:rPr>
        <w:t>Proposal 10: For the case of UE could not finish the whole SCell activation procedure during one shot of SDL SCell ON duration, there are two solutions:</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lang w:val="en-US" w:eastAsia="zh-CN"/>
        </w:rPr>
      </w:pPr>
      <w:r>
        <w:rPr>
          <w:rFonts w:hint="eastAsia"/>
          <w:b/>
          <w:bCs/>
          <w:lang w:val="en-US" w:eastAsia="zh-CN"/>
        </w:rPr>
        <w:t xml:space="preserve">-  </w:t>
      </w:r>
      <w:r>
        <w:rPr>
          <w:rFonts w:hint="default"/>
          <w:b/>
          <w:bCs/>
          <w:lang w:val="en-US" w:eastAsia="zh-CN"/>
        </w:rPr>
        <w:t>Solution 1: UE performs the SCell activation procedure only within the SDL SCell ON duration across multiple switching periodicities.</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lang w:val="en-US" w:eastAsia="zh-CN"/>
        </w:rPr>
      </w:pPr>
      <w:r>
        <w:rPr>
          <w:rFonts w:hint="eastAsia"/>
          <w:b/>
          <w:bCs/>
          <w:lang w:val="en-US" w:eastAsia="zh-CN"/>
        </w:rPr>
        <w:t xml:space="preserve">-  </w:t>
      </w:r>
      <w:r>
        <w:rPr>
          <w:rFonts w:hint="default"/>
          <w:b/>
          <w:bCs/>
          <w:lang w:val="en-US" w:eastAsia="zh-CN"/>
        </w:rPr>
        <w:t>Solution 2: UE performs the SCell activation procedure consistently across the PCell ON and SDL SCell ON durations.</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lang w:val="en-US" w:eastAsia="zh-CN"/>
        </w:rPr>
      </w:pPr>
      <w:r>
        <w:rPr>
          <w:rFonts w:hint="default"/>
          <w:b/>
          <w:bCs/>
          <w:lang w:val="en-US" w:eastAsia="zh-CN"/>
        </w:rPr>
        <w:t>The decision between Solution 1 and 2 is related to the exact periodicity configuration of the switching pattern, which is trade-off between the SCell activation delay and interruption impact.</w:t>
      </w:r>
    </w:p>
    <w:p>
      <w:pPr>
        <w:pStyle w:val="3"/>
        <w:bidi w:val="0"/>
        <w:rPr>
          <w:rFonts w:hint="eastAsia"/>
          <w:lang w:val="en-US" w:eastAsia="zh-CN"/>
        </w:rPr>
      </w:pPr>
      <w:r>
        <w:rPr>
          <w:rFonts w:hint="eastAsia"/>
          <w:lang w:val="en-US" w:eastAsia="zh-CN"/>
        </w:rPr>
        <w:t>2.4 Impact on FDD PCell</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lang w:val="en-US" w:eastAsia="zh-CN"/>
        </w:rPr>
      </w:pPr>
      <w:r>
        <w:rPr>
          <w:rFonts w:hint="eastAsia"/>
          <w:lang w:val="en-US" w:eastAsia="zh-CN"/>
        </w:rPr>
        <w:t>For FDD PCell, RAN4 needs to discuss the potential impact on the RRM measurement when the switching pattern enabled.</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lang w:val="en-US" w:eastAsia="zh-CN"/>
        </w:rPr>
      </w:pPr>
      <w:r>
        <w:rPr>
          <w:rFonts w:hint="eastAsia"/>
          <w:lang w:val="en-US" w:eastAsia="zh-CN"/>
        </w:rPr>
        <w:t>Similar as above analysis on the SCC measurement, for FDD PCC, both the measurement on PCell and measurement on the intra-frequency neighbour cells should be considered. The measurement on the PCell is quite significant to ensure the mobility, furthermore the UL is only provided by the FDD PCell, so it is better to not relax the RRM measurement on FDD PCell. During the SDL SCell ON duration within a switching pattern perioicity, whether the L3 measurement result derived from the SDL SCell measurement could be reused as the PCell measurement result, it could be discussed.</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lang w:val="en-US" w:eastAsia="zh-CN"/>
        </w:rPr>
      </w:pPr>
      <w:r>
        <w:rPr>
          <w:rFonts w:hint="eastAsia"/>
          <w:lang w:val="en-US" w:eastAsia="zh-CN"/>
        </w:rPr>
        <w:t xml:space="preserve">For the intra-frequency neighbour cell measurement with the same frequency of PCell, it is better to reuse legacy, not introduce additional relaxation. So during the SDL SCell ON duration within a switching pattern periodicity, UE needs to perform such measurement with the help of gap. </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lang w:val="en-US" w:eastAsia="zh-CN"/>
        </w:rPr>
      </w:pPr>
      <w:r>
        <w:rPr>
          <w:rFonts w:hint="eastAsia"/>
          <w:b/>
          <w:bCs/>
          <w:lang w:val="en-US" w:eastAsia="zh-CN"/>
        </w:rPr>
        <w:t>Proposal 11: The measurement on the PCell is quite significant to ensure the mobility, it is better not to relax the RRM measurement on FDD PCell.</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lang w:val="en-US" w:eastAsia="zh-CN"/>
        </w:rPr>
      </w:pPr>
      <w:r>
        <w:rPr>
          <w:rFonts w:hint="eastAsia"/>
          <w:b/>
          <w:bCs/>
          <w:lang w:val="en-US" w:eastAsia="zh-CN"/>
        </w:rPr>
        <w:t>Proposal 12: During the SDL SCell ON duration within a switching pattern perioicity, whether the L3 measurement result derived from the SDL SCell measurement could be reused as the PCell measurement result, RAN4 needs to discuss.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cs="Arial"/>
          <w:lang w:val="en-US" w:eastAsia="zh-CN"/>
        </w:rPr>
      </w:pPr>
      <w:r>
        <w:rPr>
          <w:rFonts w:hint="eastAsia"/>
          <w:b/>
          <w:bCs/>
          <w:lang w:val="en-US" w:eastAsia="zh-CN"/>
        </w:rPr>
        <w:t>Proposal 1: If the switching pattern could ensure the SSB reception from PCell in last 160 ms before UL transmission, the DL timing referred to the initial UL transmission could be guaranteed. No additional spec impact. Otherwise, the LAA solution could be alternative.</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lang w:val="en-US" w:eastAsia="zh-CN"/>
        </w:rPr>
      </w:pPr>
      <w:r>
        <w:rPr>
          <w:rFonts w:hint="eastAsia"/>
          <w:b/>
          <w:bCs/>
          <w:lang w:val="en-US" w:eastAsia="zh-CN"/>
        </w:rPr>
        <w:t xml:space="preserve">Proposal 2: No additional enhancement is needed for UL timing. </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lang w:val="en-US" w:eastAsia="zh-CN"/>
        </w:rPr>
      </w:pPr>
      <w:r>
        <w:rPr>
          <w:rFonts w:hint="eastAsia"/>
          <w:b/>
          <w:bCs/>
          <w:lang w:val="en-US" w:eastAsia="zh-CN"/>
        </w:rPr>
        <w:t>Proposal 3: RAN4 needs to discuss whether UE could maintain the AGC and T/F syncronization of the PCell/SCell when retuning from the SCell/PCell, if any side condion such as the periodicity of switching pattern needed.</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lang w:val="en-US" w:eastAsia="zh-CN"/>
        </w:rPr>
      </w:pPr>
      <w:r>
        <w:rPr>
          <w:rFonts w:hint="eastAsia"/>
          <w:b/>
          <w:bCs/>
          <w:lang w:val="en-US" w:eastAsia="zh-CN"/>
        </w:rPr>
        <w:t>Proposal 4: RAN4 needs to discuss the potential CSSF</w:t>
      </w:r>
      <w:r>
        <w:rPr>
          <w:rFonts w:hint="eastAsia"/>
          <w:b/>
          <w:bCs/>
          <w:sz w:val="11"/>
          <w:szCs w:val="11"/>
          <w:lang w:val="en-US" w:eastAsia="zh-CN"/>
        </w:rPr>
        <w:t>outside_gap</w:t>
      </w:r>
      <w:r>
        <w:rPr>
          <w:rFonts w:hint="eastAsia"/>
          <w:b/>
          <w:bCs/>
          <w:lang w:val="en-US" w:eastAsia="zh-CN"/>
        </w:rPr>
        <w:t xml:space="preserve"> enhancement since the PCell measurement and SCell measurement are in sequence instead of in parallel.</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lang w:val="en-US" w:eastAsia="zh-CN"/>
        </w:rPr>
      </w:pPr>
      <w:r>
        <w:rPr>
          <w:rFonts w:hint="eastAsia"/>
          <w:b/>
          <w:bCs/>
          <w:lang w:val="en-US" w:eastAsia="zh-CN"/>
        </w:rPr>
        <w:t>Proposal 5: The interruption led by Rx switching is determined by the switching period and RTD. It could be defined as 1 symbol for the case of 35 us switching period and 3 symbols for the case of 140 us switching period.</w:t>
      </w:r>
    </w:p>
    <w:p>
      <w:pPr>
        <w:pStyle w:val="10"/>
        <w:bidi w:val="0"/>
        <w:rPr>
          <w:rFonts w:hint="default"/>
          <w:b/>
          <w:bCs/>
          <w:lang w:val="en-US" w:eastAsia="zh-CN"/>
        </w:rPr>
      </w:pPr>
      <w:r>
        <w:rPr>
          <w:rFonts w:hint="eastAsia"/>
          <w:b/>
          <w:bCs/>
          <w:lang w:val="en-US" w:eastAsia="zh-CN"/>
        </w:rPr>
        <w:t xml:space="preserve">Observation 1: No explict indication or configuration to inform UE which SCell is SSB-less SCell in R18. Instead, UE decides the SSB-less SCell based on the implict principle </w:t>
      </w:r>
      <w:r>
        <w:rPr>
          <w:rFonts w:hint="default"/>
          <w:b/>
          <w:bCs/>
          <w:lang w:val="en-US" w:eastAsia="zh-CN"/>
        </w:rPr>
        <w:t>“if the UE is not provided with SSB configuration (absoluteFrequencySSB) or SMTC configuration for the target SCell”</w:t>
      </w:r>
      <w:r>
        <w:rPr>
          <w:rFonts w:hint="eastAsia"/>
          <w:b/>
          <w:bCs/>
          <w:lang w:val="en-US" w:eastAsia="zh-CN"/>
        </w:rPr>
        <w:t>.</w:t>
      </w:r>
    </w:p>
    <w:p>
      <w:pPr>
        <w:pStyle w:val="10"/>
        <w:bidi w:val="0"/>
        <w:rPr>
          <w:rFonts w:hint="eastAsia"/>
          <w:b/>
          <w:bCs/>
          <w:lang w:val="en-US" w:eastAsia="zh-CN"/>
        </w:rPr>
      </w:pPr>
      <w:r>
        <w:rPr>
          <w:rFonts w:hint="eastAsia"/>
          <w:b/>
          <w:bCs/>
          <w:lang w:val="en-US" w:eastAsia="zh-CN"/>
        </w:rPr>
        <w:t xml:space="preserve">Proposal 6: The implict principle of how to recognize SSB-less SCell in R18 does not fit the SDL SCell since NW may or may not configure SSB at the SDL SCell to account for the period of SDL SCell ON duration. </w:t>
      </w:r>
    </w:p>
    <w:p>
      <w:pPr>
        <w:pStyle w:val="10"/>
        <w:bidi w:val="0"/>
        <w:rPr>
          <w:rFonts w:hint="default"/>
          <w:lang w:val="en-US" w:eastAsia="zh-CN"/>
        </w:rPr>
      </w:pPr>
      <w:r>
        <w:rPr>
          <w:rFonts w:hint="eastAsia"/>
          <w:b/>
          <w:bCs/>
          <w:lang w:val="en-US" w:eastAsia="zh-CN"/>
        </w:rPr>
        <w:t>Proposal 7: Some explict indication or configuration to enable the SSB-less SCell operation on the SDL SCell at least targeted at the period of SDL SCell ON duration is needed.</w:t>
      </w:r>
    </w:p>
    <w:p>
      <w:pPr>
        <w:pStyle w:val="10"/>
        <w:bidi w:val="0"/>
        <w:rPr>
          <w:rFonts w:hint="default"/>
          <w:lang w:val="en-US" w:eastAsia="zh-CN"/>
        </w:rPr>
      </w:pPr>
      <w:r>
        <w:rPr>
          <w:rFonts w:hint="eastAsia"/>
          <w:b/>
          <w:bCs/>
          <w:lang w:val="en-US" w:eastAsia="zh-CN"/>
        </w:rPr>
        <w:t>Proposal 8: If SSB based L3 measurement on SDL SCell is expected during the period of PCell ON, to reduce the impact of interruption, some advanced UE implementation or measurement relaxation could be considered.</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lang w:val="en-US" w:eastAsia="zh-CN"/>
        </w:rPr>
      </w:pPr>
      <w:r>
        <w:rPr>
          <w:rFonts w:hint="eastAsia"/>
          <w:b/>
          <w:bCs/>
          <w:lang w:val="en-US" w:eastAsia="zh-CN"/>
        </w:rPr>
        <w:t>Proposal 9: The intra-frequency neighbour cell measurement at the SDL SCell frequency is not as  urgent as the measurement on SDL SCell itself. To reduce the interruption, UE only performs the intra-frequency neighbour cell measurement at the SDL SCell frequency during the period of SDL SCell ON duration.</w:t>
      </w:r>
    </w:p>
    <w:p>
      <w:pPr>
        <w:pStyle w:val="10"/>
        <w:keepNext w:val="0"/>
        <w:keepLines w:val="0"/>
        <w:pageBreakBefore w:val="0"/>
        <w:widowControl/>
        <w:kinsoku/>
        <w:wordWrap/>
        <w:overflowPunct/>
        <w:topLinePunct w:val="0"/>
        <w:autoSpaceDE/>
        <w:autoSpaceDN/>
        <w:bidi w:val="0"/>
        <w:adjustRightInd/>
        <w:snapToGrid/>
        <w:textAlignment w:val="auto"/>
        <w:rPr>
          <w:rFonts w:hint="default"/>
          <w:b/>
          <w:bCs/>
          <w:lang w:val="en-US" w:eastAsia="zh-CN"/>
        </w:rPr>
      </w:pPr>
      <w:r>
        <w:rPr>
          <w:rFonts w:hint="eastAsia"/>
          <w:b/>
          <w:bCs/>
          <w:lang w:val="en-US" w:eastAsia="zh-CN"/>
        </w:rPr>
        <w:t>Proposal 10: For the case of UE could not finish the whole SCell activation procedure during one shot of SDL SCell ON duration, there are two solutions:</w:t>
      </w:r>
    </w:p>
    <w:p>
      <w:pPr>
        <w:pStyle w:val="10"/>
        <w:keepNext w:val="0"/>
        <w:keepLines w:val="0"/>
        <w:pageBreakBefore w:val="0"/>
        <w:widowControl/>
        <w:kinsoku/>
        <w:wordWrap/>
        <w:overflowPunct/>
        <w:topLinePunct w:val="0"/>
        <w:autoSpaceDE/>
        <w:autoSpaceDN/>
        <w:bidi w:val="0"/>
        <w:adjustRightInd/>
        <w:snapToGrid/>
        <w:textAlignment w:val="auto"/>
        <w:rPr>
          <w:rFonts w:hint="default"/>
          <w:b/>
          <w:bCs/>
          <w:lang w:val="en-US" w:eastAsia="zh-CN"/>
        </w:rPr>
      </w:pPr>
      <w:r>
        <w:rPr>
          <w:rFonts w:hint="eastAsia"/>
          <w:b/>
          <w:bCs/>
          <w:lang w:val="en-US" w:eastAsia="zh-CN"/>
        </w:rPr>
        <w:t xml:space="preserve">-  </w:t>
      </w:r>
      <w:r>
        <w:rPr>
          <w:rFonts w:hint="default"/>
          <w:b/>
          <w:bCs/>
          <w:lang w:val="en-US" w:eastAsia="zh-CN"/>
        </w:rPr>
        <w:t>Solution 1: UE performs the SCell activation procedure only within the SDL SCell ON duration across multiple switching periodicities.</w:t>
      </w:r>
    </w:p>
    <w:p>
      <w:pPr>
        <w:pStyle w:val="10"/>
        <w:keepNext w:val="0"/>
        <w:keepLines w:val="0"/>
        <w:pageBreakBefore w:val="0"/>
        <w:widowControl/>
        <w:kinsoku/>
        <w:wordWrap/>
        <w:overflowPunct/>
        <w:topLinePunct w:val="0"/>
        <w:autoSpaceDE/>
        <w:autoSpaceDN/>
        <w:bidi w:val="0"/>
        <w:adjustRightInd/>
        <w:snapToGrid/>
        <w:textAlignment w:val="auto"/>
        <w:rPr>
          <w:rFonts w:hint="default"/>
          <w:b/>
          <w:bCs/>
          <w:lang w:val="en-US" w:eastAsia="zh-CN"/>
        </w:rPr>
      </w:pPr>
      <w:r>
        <w:rPr>
          <w:rFonts w:hint="eastAsia"/>
          <w:b/>
          <w:bCs/>
          <w:lang w:val="en-US" w:eastAsia="zh-CN"/>
        </w:rPr>
        <w:t xml:space="preserve">-  </w:t>
      </w:r>
      <w:r>
        <w:rPr>
          <w:rFonts w:hint="default"/>
          <w:b/>
          <w:bCs/>
          <w:lang w:val="en-US" w:eastAsia="zh-CN"/>
        </w:rPr>
        <w:t>Solution 2: UE performs the SCell activation procedure consistently across the PCell ON and SDL SCell ON durations.</w:t>
      </w:r>
    </w:p>
    <w:p>
      <w:pPr>
        <w:pStyle w:val="10"/>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default"/>
          <w:b/>
          <w:bCs/>
          <w:lang w:val="en-US" w:eastAsia="zh-CN"/>
        </w:rPr>
        <w:t>The decision between Solution 1 and 2 is related to the exact periodicity configuration of the switching pattern, which is trade-off between the SCell activation delay and interruption impact.</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lang w:val="en-US" w:eastAsia="zh-CN"/>
        </w:rPr>
      </w:pPr>
      <w:r>
        <w:rPr>
          <w:rFonts w:hint="eastAsia"/>
          <w:b/>
          <w:bCs/>
          <w:lang w:val="en-US" w:eastAsia="zh-CN"/>
        </w:rPr>
        <w:t>Proposal 11: The measurement on the PCell is quite significant to ensure the mobility, it is better not to relax the RRM measurement on FDD PCell.</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pPr>
      <w:r>
        <w:rPr>
          <w:rFonts w:hint="eastAsia"/>
          <w:b/>
          <w:bCs/>
          <w:lang w:val="en-US" w:eastAsia="zh-CN"/>
        </w:rPr>
        <w:t>Proposal 12: During the SDL SCell ON duration within a switching pattern perioicity, whether the L3 measurement result derived from the SDL SCell measurement could be reused as the PCell measurement result, RAN4 needs to discuss.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1"/>
        <w:numPr>
          <w:ilvl w:val="0"/>
          <w:numId w:val="11"/>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RP-243317, New WID on low band carrier aggregation via switching, Apple, TELUS, Bell Mobility, BT plc, Skyworks Solutions Inc., Anterix, Southern Linc, AT&amp;T, Boost Mobile Network, Murata, Ericsson, Samsung, Qorvo, Nokia, Huawei, HiSilicon, vivo, OPPO, Qualcomm, Google, Sony, ZTE, Intel Corporation, MediaTek, LGE</w:t>
      </w:r>
    </w:p>
    <w:p>
      <w:pPr>
        <w:pStyle w:val="11"/>
        <w:numPr>
          <w:ilvl w:val="0"/>
          <w:numId w:val="11"/>
        </w:numPr>
        <w:ind w:leftChars="0"/>
        <w:rPr>
          <w:rFonts w:hint="eastAsia"/>
          <w:color w:val="auto"/>
          <w:sz w:val="20"/>
          <w:szCs w:val="20"/>
          <w:highlight w:val="none"/>
          <w:lang w:val="en-US" w:eastAsia="zh-CN"/>
        </w:rPr>
      </w:pPr>
      <w:r>
        <w:rPr>
          <w:rFonts w:hint="eastAsia"/>
          <w:color w:val="auto"/>
          <w:sz w:val="20"/>
          <w:szCs w:val="20"/>
          <w:highlight w:val="none"/>
          <w:lang w:val="en-US" w:eastAsia="zh-CN"/>
        </w:rPr>
        <w:t>R4-2502588, WF on RRM requirements for NR_LBCA_Sw, Apple</w:t>
      </w:r>
    </w:p>
    <w:p>
      <w:pPr>
        <w:pStyle w:val="11"/>
        <w:numPr>
          <w:ilvl w:val="0"/>
          <w:numId w:val="0"/>
        </w:numPr>
        <w:ind w:leftChars="0"/>
        <w:rPr>
          <w:rFonts w:hint="eastAsia"/>
          <w:color w:val="auto"/>
          <w:sz w:val="20"/>
          <w:szCs w:val="20"/>
          <w:highlight w:val="none"/>
          <w:lang w:val="en-US" w:eastAsia="zh-CN"/>
        </w:rPr>
      </w:pPr>
    </w:p>
    <w:p>
      <w:pPr>
        <w:pStyle w:val="11"/>
        <w:numPr>
          <w:ilvl w:val="0"/>
          <w:numId w:val="0"/>
        </w:numPr>
        <w:ind w:leftChars="0"/>
        <w:rPr>
          <w:rFonts w:hint="eastAsia"/>
          <w:color w:val="auto"/>
          <w:sz w:val="20"/>
          <w:szCs w:val="20"/>
          <w:highlight w:val="none"/>
          <w:lang w:val="en-US" w:eastAsia="zh-CN"/>
        </w:rPr>
      </w:pPr>
    </w:p>
    <w:p>
      <w:pPr>
        <w:pStyle w:val="11"/>
        <w:numPr>
          <w:ilvl w:val="0"/>
          <w:numId w:val="0"/>
        </w:numPr>
        <w:ind w:leftChars="0"/>
        <w:rPr>
          <w:rFonts w:hint="eastAsia"/>
          <w:color w:val="auto"/>
          <w:sz w:val="20"/>
          <w:szCs w:val="20"/>
          <w:highlight w:val="none"/>
          <w:lang w:val="en-US" w:eastAsia="zh-CN"/>
        </w:rPr>
      </w:pPr>
    </w:p>
    <w:p>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v4.2.0">
    <w:altName w:val="Times New Roman"/>
    <w:panose1 w:val="020B0604020202020204"/>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DF8CB6AB"/>
    <w:multiLevelType w:val="singleLevel"/>
    <w:tmpl w:val="DF8CB6AB"/>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224A7C4"/>
    <w:multiLevelType w:val="singleLevel"/>
    <w:tmpl w:val="3224A7C4"/>
    <w:lvl w:ilvl="0" w:tentative="0">
      <w:start w:val="1"/>
      <w:numFmt w:val="bullet"/>
      <w:lvlText w:val=""/>
      <w:lvlJc w:val="left"/>
      <w:pPr>
        <w:ind w:left="420" w:hanging="420"/>
      </w:pPr>
      <w:rPr>
        <w:rFonts w:hint="default" w:ascii="Wingdings" w:hAnsi="Wingdings"/>
      </w:rPr>
    </w:lvl>
  </w:abstractNum>
  <w:abstractNum w:abstractNumId="4">
    <w:nsid w:val="3AE65483"/>
    <w:multiLevelType w:val="multilevel"/>
    <w:tmpl w:val="3AE654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8">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37B003D"/>
    <w:multiLevelType w:val="multilevel"/>
    <w:tmpl w:val="737B003D"/>
    <w:lvl w:ilvl="0" w:tentative="0">
      <w:start w:val="1"/>
      <w:numFmt w:val="bullet"/>
      <w:lvlText w:val="•"/>
      <w:lvlJc w:val="left"/>
      <w:pPr>
        <w:tabs>
          <w:tab w:val="left" w:pos="420"/>
        </w:tabs>
        <w:ind w:left="840" w:hanging="420"/>
      </w:pPr>
      <w:rPr>
        <w:rFonts w:hint="default" w:ascii="Arial" w:hAnsi="Arial"/>
      </w:rPr>
    </w:lvl>
    <w:lvl w:ilvl="1" w:tentative="0">
      <w:start w:val="1"/>
      <w:numFmt w:val="bullet"/>
      <w:lvlText w:val=""/>
      <w:lvlJc w:val="left"/>
      <w:pPr>
        <w:tabs>
          <w:tab w:val="left" w:pos="420"/>
        </w:tabs>
        <w:ind w:left="1260" w:hanging="420"/>
      </w:pPr>
      <w:rPr>
        <w:rFonts w:hint="default" w:ascii="Wingdings" w:hAnsi="Wingdings"/>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abstractNum w:abstractNumId="10">
    <w:nsid w:val="7F3BC73E"/>
    <w:multiLevelType w:val="singleLevel"/>
    <w:tmpl w:val="7F3BC73E"/>
    <w:lvl w:ilvl="0" w:tentative="0">
      <w:start w:val="1"/>
      <w:numFmt w:val="bullet"/>
      <w:lvlText w:val=""/>
      <w:lvlJc w:val="left"/>
      <w:pPr>
        <w:ind w:left="420" w:hanging="420"/>
      </w:pPr>
      <w:rPr>
        <w:rFonts w:hint="default" w:ascii="Wingdings" w:hAnsi="Wingdings"/>
      </w:rPr>
    </w:lvl>
  </w:abstractNum>
  <w:num w:numId="1">
    <w:abstractNumId w:val="8"/>
  </w:num>
  <w:num w:numId="2">
    <w:abstractNumId w:val="6"/>
  </w:num>
  <w:num w:numId="3">
    <w:abstractNumId w:val="5"/>
  </w:num>
  <w:num w:numId="4">
    <w:abstractNumId w:val="2"/>
  </w:num>
  <w:num w:numId="5">
    <w:abstractNumId w:val="3"/>
  </w:num>
  <w:num w:numId="6">
    <w:abstractNumId w:val="7"/>
  </w:num>
  <w:num w:numId="7">
    <w:abstractNumId w:val="9"/>
  </w:num>
  <w:num w:numId="8">
    <w:abstractNumId w:val="1"/>
  </w:num>
  <w:num w:numId="9">
    <w:abstractNumId w:val="4"/>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35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0F0E14"/>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A605E"/>
    <w:rsid w:val="035B40C3"/>
    <w:rsid w:val="037709BE"/>
    <w:rsid w:val="037D0CB3"/>
    <w:rsid w:val="0396118A"/>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12D96"/>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8E3333"/>
    <w:rsid w:val="0A992429"/>
    <w:rsid w:val="0AAC36DF"/>
    <w:rsid w:val="0AD017A1"/>
    <w:rsid w:val="0AE47427"/>
    <w:rsid w:val="0AEB4F7E"/>
    <w:rsid w:val="0AF922DB"/>
    <w:rsid w:val="0B0362DC"/>
    <w:rsid w:val="0B12013A"/>
    <w:rsid w:val="0B1E364C"/>
    <w:rsid w:val="0B2D2436"/>
    <w:rsid w:val="0B3A59CA"/>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88548B"/>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503200"/>
    <w:rsid w:val="0E6B7D9D"/>
    <w:rsid w:val="0E787DDC"/>
    <w:rsid w:val="0E7E6ECB"/>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EE5313"/>
    <w:rsid w:val="14FA2A13"/>
    <w:rsid w:val="153A0A1D"/>
    <w:rsid w:val="153A6EF0"/>
    <w:rsid w:val="1540202C"/>
    <w:rsid w:val="155456B8"/>
    <w:rsid w:val="15560C75"/>
    <w:rsid w:val="155B63E3"/>
    <w:rsid w:val="15647C42"/>
    <w:rsid w:val="156521B8"/>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4D55D2"/>
    <w:rsid w:val="1664507D"/>
    <w:rsid w:val="167800AD"/>
    <w:rsid w:val="167E5CBF"/>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6E37CD"/>
    <w:rsid w:val="177A53BF"/>
    <w:rsid w:val="178022B2"/>
    <w:rsid w:val="178131D1"/>
    <w:rsid w:val="179862E6"/>
    <w:rsid w:val="179941B3"/>
    <w:rsid w:val="179A7349"/>
    <w:rsid w:val="17A4777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8C5E14"/>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F6DF3"/>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756F70"/>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04E5C"/>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97C97"/>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473960"/>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A919D0"/>
    <w:rsid w:val="2FB7446E"/>
    <w:rsid w:val="2FC1649F"/>
    <w:rsid w:val="2FFE4655"/>
    <w:rsid w:val="2FFF0FC6"/>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65147E"/>
    <w:rsid w:val="31927D00"/>
    <w:rsid w:val="319708F2"/>
    <w:rsid w:val="31B14C9E"/>
    <w:rsid w:val="31C44C64"/>
    <w:rsid w:val="31D75BEC"/>
    <w:rsid w:val="31EF09FD"/>
    <w:rsid w:val="31EF4BCB"/>
    <w:rsid w:val="31F34E0D"/>
    <w:rsid w:val="320346CB"/>
    <w:rsid w:val="32282F84"/>
    <w:rsid w:val="3230175C"/>
    <w:rsid w:val="32474D62"/>
    <w:rsid w:val="32495BBC"/>
    <w:rsid w:val="324E54ED"/>
    <w:rsid w:val="325512F0"/>
    <w:rsid w:val="32661BCC"/>
    <w:rsid w:val="32713486"/>
    <w:rsid w:val="3278056E"/>
    <w:rsid w:val="327B6B95"/>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D73B1B"/>
    <w:rsid w:val="38F95C2E"/>
    <w:rsid w:val="38FD559B"/>
    <w:rsid w:val="39003390"/>
    <w:rsid w:val="390F72CD"/>
    <w:rsid w:val="392A3614"/>
    <w:rsid w:val="3941547E"/>
    <w:rsid w:val="394419EF"/>
    <w:rsid w:val="39475996"/>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357324"/>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4B38C2"/>
    <w:rsid w:val="3E5323C8"/>
    <w:rsid w:val="3E5C0E54"/>
    <w:rsid w:val="3E5D15DE"/>
    <w:rsid w:val="3E6831F2"/>
    <w:rsid w:val="3E685E5E"/>
    <w:rsid w:val="3E704C35"/>
    <w:rsid w:val="3E7316CB"/>
    <w:rsid w:val="3E771FD5"/>
    <w:rsid w:val="3E832F5F"/>
    <w:rsid w:val="3E83729F"/>
    <w:rsid w:val="3EA35B23"/>
    <w:rsid w:val="3EAF44FF"/>
    <w:rsid w:val="3EB06BA3"/>
    <w:rsid w:val="3ED0302D"/>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6B516E"/>
    <w:rsid w:val="44776310"/>
    <w:rsid w:val="44864A87"/>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E53350"/>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9E9338D"/>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DC5973"/>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B741B"/>
    <w:rsid w:val="4CBF4B6F"/>
    <w:rsid w:val="4CCE38DC"/>
    <w:rsid w:val="4CE04381"/>
    <w:rsid w:val="4CE91422"/>
    <w:rsid w:val="4CFD051B"/>
    <w:rsid w:val="4D171AC3"/>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273BB"/>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6834C6"/>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563145"/>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8F8146E"/>
    <w:rsid w:val="59004982"/>
    <w:rsid w:val="59021A1C"/>
    <w:rsid w:val="590525A9"/>
    <w:rsid w:val="59296D9D"/>
    <w:rsid w:val="594B3F35"/>
    <w:rsid w:val="595E268E"/>
    <w:rsid w:val="596B1A25"/>
    <w:rsid w:val="596E3BBB"/>
    <w:rsid w:val="597B223C"/>
    <w:rsid w:val="5984486C"/>
    <w:rsid w:val="59874BEF"/>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CFE7D8B"/>
    <w:rsid w:val="5D035192"/>
    <w:rsid w:val="5D0C6764"/>
    <w:rsid w:val="5D193B8A"/>
    <w:rsid w:val="5D1A2BCC"/>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8F511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B7312"/>
    <w:rsid w:val="5FBD4362"/>
    <w:rsid w:val="5FC77947"/>
    <w:rsid w:val="5FD97DB6"/>
    <w:rsid w:val="5FDC5DB4"/>
    <w:rsid w:val="5FF60AC8"/>
    <w:rsid w:val="5FFE006B"/>
    <w:rsid w:val="600808F0"/>
    <w:rsid w:val="601A26C3"/>
    <w:rsid w:val="601F0157"/>
    <w:rsid w:val="60264CE8"/>
    <w:rsid w:val="60340230"/>
    <w:rsid w:val="6040432D"/>
    <w:rsid w:val="60425E29"/>
    <w:rsid w:val="60474E7B"/>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668B3"/>
    <w:rsid w:val="630C63B9"/>
    <w:rsid w:val="634C244A"/>
    <w:rsid w:val="63581625"/>
    <w:rsid w:val="635902CD"/>
    <w:rsid w:val="6359154E"/>
    <w:rsid w:val="63660C1E"/>
    <w:rsid w:val="636810D4"/>
    <w:rsid w:val="63AB150B"/>
    <w:rsid w:val="63B44E9B"/>
    <w:rsid w:val="63C11EF5"/>
    <w:rsid w:val="63C40D91"/>
    <w:rsid w:val="63C55572"/>
    <w:rsid w:val="63C90630"/>
    <w:rsid w:val="63CC1082"/>
    <w:rsid w:val="63D94F4D"/>
    <w:rsid w:val="63E271B2"/>
    <w:rsid w:val="63E95A49"/>
    <w:rsid w:val="63F54718"/>
    <w:rsid w:val="63F77EDC"/>
    <w:rsid w:val="63FA567E"/>
    <w:rsid w:val="640A4B8F"/>
    <w:rsid w:val="640C4D77"/>
    <w:rsid w:val="640F772C"/>
    <w:rsid w:val="642E5B37"/>
    <w:rsid w:val="64480456"/>
    <w:rsid w:val="6449788C"/>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8D32AB"/>
    <w:rsid w:val="65962C93"/>
    <w:rsid w:val="659C00AC"/>
    <w:rsid w:val="659F0B5B"/>
    <w:rsid w:val="65BC3130"/>
    <w:rsid w:val="65CB36A4"/>
    <w:rsid w:val="65D0128E"/>
    <w:rsid w:val="65D63F94"/>
    <w:rsid w:val="65E848BE"/>
    <w:rsid w:val="66040F4D"/>
    <w:rsid w:val="660874F0"/>
    <w:rsid w:val="66192A30"/>
    <w:rsid w:val="661C5D0F"/>
    <w:rsid w:val="661E59C9"/>
    <w:rsid w:val="6621310D"/>
    <w:rsid w:val="66277FAF"/>
    <w:rsid w:val="66355606"/>
    <w:rsid w:val="664B5C0B"/>
    <w:rsid w:val="665244EE"/>
    <w:rsid w:val="66547455"/>
    <w:rsid w:val="666B43E4"/>
    <w:rsid w:val="6678346C"/>
    <w:rsid w:val="669B3234"/>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40AA3"/>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530CB1"/>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08E2"/>
    <w:rsid w:val="72A16B66"/>
    <w:rsid w:val="72A25AEE"/>
    <w:rsid w:val="72AF5368"/>
    <w:rsid w:val="72BC2E0B"/>
    <w:rsid w:val="72BF60CA"/>
    <w:rsid w:val="72D57759"/>
    <w:rsid w:val="72EA1DC7"/>
    <w:rsid w:val="72F41282"/>
    <w:rsid w:val="72FE7563"/>
    <w:rsid w:val="730D377F"/>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8771F"/>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B6635D"/>
    <w:rsid w:val="77C067C3"/>
    <w:rsid w:val="77D3696A"/>
    <w:rsid w:val="77DB19DB"/>
    <w:rsid w:val="77E50650"/>
    <w:rsid w:val="77EF51A2"/>
    <w:rsid w:val="780479BF"/>
    <w:rsid w:val="78094BD7"/>
    <w:rsid w:val="780D6C4F"/>
    <w:rsid w:val="78134DB8"/>
    <w:rsid w:val="78157472"/>
    <w:rsid w:val="782010F3"/>
    <w:rsid w:val="78220195"/>
    <w:rsid w:val="786916EC"/>
    <w:rsid w:val="78877156"/>
    <w:rsid w:val="78911E31"/>
    <w:rsid w:val="78D00DB0"/>
    <w:rsid w:val="78E8339A"/>
    <w:rsid w:val="790E4463"/>
    <w:rsid w:val="7922350F"/>
    <w:rsid w:val="792B5470"/>
    <w:rsid w:val="792C1F85"/>
    <w:rsid w:val="79392FF8"/>
    <w:rsid w:val="79443502"/>
    <w:rsid w:val="794F35A6"/>
    <w:rsid w:val="79587B58"/>
    <w:rsid w:val="79673C53"/>
    <w:rsid w:val="796905D1"/>
    <w:rsid w:val="79740C89"/>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E6680C"/>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6"/>
    <w:basedOn w:val="1"/>
    <w:next w:val="1"/>
    <w:unhideWhenUsed/>
    <w:qFormat/>
    <w:uiPriority w:val="9"/>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basedOn w:val="20"/>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B2"/>
    <w:basedOn w:val="11"/>
    <w:qFormat/>
    <w:uiPriority w:val="0"/>
  </w:style>
  <w:style w:type="paragraph" w:customStyle="1" w:styleId="61">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2">
    <w:name w:val="스타일 스타일 스타일 스타일 양쪽 첫 줄:  2 글자 + 첫 줄:  2 글자 + 첫 줄:  2 글자 + 첫 줄:  2..."/>
    <w:basedOn w:val="63"/>
    <w:qFormat/>
    <w:uiPriority w:val="0"/>
    <w:pPr>
      <w:spacing w:line="336" w:lineRule="auto"/>
    </w:pPr>
  </w:style>
  <w:style w:type="paragraph" w:customStyle="1" w:styleId="63">
    <w:name w:val="스타일 스타일 스타일 양쪽 첫 줄:  2 글자 + 첫 줄:  2 글자 + 첫 줄:  2 글자"/>
    <w:basedOn w:val="64"/>
    <w:qFormat/>
    <w:uiPriority w:val="0"/>
    <w:pPr>
      <w:spacing w:line="312" w:lineRule="auto"/>
    </w:pPr>
  </w:style>
  <w:style w:type="paragraph" w:customStyle="1" w:styleId="64">
    <w:name w:val="스타일 스타일 양쪽 첫 줄:  2 글자 + 첫 줄:  2 글자"/>
    <w:basedOn w:val="65"/>
    <w:qFormat/>
    <w:uiPriority w:val="0"/>
    <w:pPr>
      <w:spacing w:line="300" w:lineRule="auto"/>
    </w:pPr>
  </w:style>
  <w:style w:type="paragraph" w:customStyle="1" w:styleId="65">
    <w:name w:val="스타일 양쪽 첫 줄:  2 글자"/>
    <w:basedOn w:val="1"/>
    <w:qFormat/>
    <w:uiPriority w:val="0"/>
    <w:pPr>
      <w:spacing w:line="288" w:lineRule="auto"/>
      <w:ind w:firstLine="200" w:firstLineChars="200"/>
      <w:jc w:val="both"/>
    </w:pPr>
    <w:rPr>
      <w:rFonts w:cs="Batang"/>
    </w:rPr>
  </w:style>
  <w:style w:type="paragraph" w:customStyle="1" w:styleId="66">
    <w:name w:val="Reference"/>
    <w:basedOn w:val="10"/>
    <w:qFormat/>
    <w:locked/>
    <w:uiPriority w:val="99"/>
    <w:pPr>
      <w:numPr>
        <w:ilvl w:val="0"/>
        <w:numId w:val="3"/>
      </w:numPr>
    </w:pPr>
  </w:style>
  <w:style w:type="paragraph" w:customStyle="1" w:styleId="67">
    <w:name w:val="Guidance"/>
    <w:basedOn w:val="1"/>
    <w:qFormat/>
    <w:uiPriority w:val="0"/>
    <w:pPr>
      <w:textAlignment w:val="auto"/>
    </w:pPr>
    <w:rPr>
      <w:rFonts w:eastAsia="Times New Roman"/>
      <w:i/>
      <w:color w:val="000000"/>
      <w:lang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2025-03-28T13:36:48Z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28ED74877E8945EBA25559CFA691162C</vt:lpwstr>
  </property>
</Properties>
</file>